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8B8E6" w14:textId="6BA33D1B" w:rsidR="00EA2E64" w:rsidRDefault="00D66490">
      <w:pPr>
        <w:spacing w:before="82" w:line="237" w:lineRule="auto"/>
        <w:ind w:left="78" w:right="305" w:hanging="15"/>
        <w:jc w:val="center"/>
      </w:pPr>
      <w:r>
        <w:rPr>
          <w:b/>
        </w:rPr>
        <w:t xml:space="preserve">Рекомендации Совета </w:t>
      </w:r>
      <w:r>
        <w:t xml:space="preserve">директоров </w:t>
      </w:r>
      <w:r>
        <w:rPr>
          <w:b/>
        </w:rPr>
        <w:t>Акционерного общества «</w:t>
      </w:r>
      <w:proofErr w:type="spellStart"/>
      <w:r w:rsidR="00C4000B">
        <w:rPr>
          <w:b/>
        </w:rPr>
        <w:t>Новосибирскэнергосбыт</w:t>
      </w:r>
      <w:proofErr w:type="spellEnd"/>
      <w:r>
        <w:t>»</w:t>
      </w:r>
      <w:r>
        <w:rPr>
          <w:spacing w:val="40"/>
        </w:rPr>
        <w:t xml:space="preserve"> </w:t>
      </w:r>
      <w:r>
        <w:t>в отношении</w:t>
      </w:r>
      <w:r>
        <w:rPr>
          <w:spacing w:val="40"/>
        </w:rPr>
        <w:t xml:space="preserve"> </w:t>
      </w:r>
      <w:r>
        <w:t>полученного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 w:rsidR="0018235B">
        <w:t>с огранич</w:t>
      </w:r>
      <w:r>
        <w:t>енной</w:t>
      </w:r>
      <w:r>
        <w:rPr>
          <w:spacing w:val="40"/>
        </w:rPr>
        <w:t xml:space="preserve"> </w:t>
      </w:r>
      <w:r>
        <w:t>ответственностью «</w:t>
      </w:r>
      <w:proofErr w:type="spellStart"/>
      <w:r w:rsidR="00C4000B">
        <w:t>Адванс</w:t>
      </w:r>
      <w:proofErr w:type="spellEnd"/>
      <w:r w:rsidR="00C4000B">
        <w:t xml:space="preserve"> Инвест</w:t>
      </w:r>
      <w:r>
        <w:rPr>
          <w:b/>
        </w:rPr>
        <w:t xml:space="preserve">» </w:t>
      </w:r>
      <w:r>
        <w:t>Обязательного</w:t>
      </w:r>
      <w:r>
        <w:rPr>
          <w:spacing w:val="36"/>
        </w:rPr>
        <w:t xml:space="preserve"> </w:t>
      </w:r>
      <w:r>
        <w:rPr>
          <w:b/>
        </w:rPr>
        <w:t>предложения о приобретении эмиссионных</w:t>
      </w:r>
      <w:r>
        <w:rPr>
          <w:b/>
          <w:spacing w:val="40"/>
        </w:rPr>
        <w:t xml:space="preserve"> </w:t>
      </w:r>
      <w:r>
        <w:rPr>
          <w:b/>
        </w:rPr>
        <w:t xml:space="preserve">ценных </w:t>
      </w:r>
      <w:r>
        <w:t xml:space="preserve">бумаг </w:t>
      </w:r>
      <w:r>
        <w:rPr>
          <w:b/>
        </w:rPr>
        <w:t xml:space="preserve">Акционерного </w:t>
      </w:r>
      <w:r>
        <w:t xml:space="preserve">общества </w:t>
      </w:r>
      <w:r>
        <w:rPr>
          <w:b/>
        </w:rPr>
        <w:t>«</w:t>
      </w:r>
      <w:proofErr w:type="spellStart"/>
      <w:r w:rsidR="00C4000B">
        <w:rPr>
          <w:b/>
        </w:rPr>
        <w:t>Новосибирскэнергосбыт</w:t>
      </w:r>
      <w:proofErr w:type="spellEnd"/>
      <w:r>
        <w:t>»</w:t>
      </w:r>
    </w:p>
    <w:p w14:paraId="4B5A3887" w14:textId="77777777" w:rsidR="00EA2E64" w:rsidRDefault="00EA2E64">
      <w:pPr>
        <w:pStyle w:val="a3"/>
      </w:pPr>
    </w:p>
    <w:p w14:paraId="5F377F50" w14:textId="6D2554CA" w:rsidR="00EA2E64" w:rsidRDefault="009D381C">
      <w:pPr>
        <w:pStyle w:val="a3"/>
        <w:spacing w:before="1"/>
        <w:ind w:left="39" w:right="249" w:firstLine="572"/>
        <w:jc w:val="both"/>
      </w:pPr>
      <w:r w:rsidRPr="009D381C">
        <w:rPr>
          <w:color w:val="00152D"/>
        </w:rPr>
        <w:t>22</w:t>
      </w:r>
      <w:r w:rsidR="00B963DE" w:rsidRPr="009D381C">
        <w:rPr>
          <w:color w:val="00152D"/>
        </w:rPr>
        <w:t>.</w:t>
      </w:r>
      <w:r w:rsidR="00096288" w:rsidRPr="009D381C">
        <w:rPr>
          <w:color w:val="00152D"/>
        </w:rPr>
        <w:t>04</w:t>
      </w:r>
      <w:r w:rsidR="00D66490" w:rsidRPr="009D381C">
        <w:t>.202</w:t>
      </w:r>
      <w:r w:rsidR="00C4000B" w:rsidRPr="009D381C">
        <w:t>6</w:t>
      </w:r>
      <w:r w:rsidR="00C4000B">
        <w:t xml:space="preserve"> </w:t>
      </w:r>
      <w:r w:rsidR="00D66490">
        <w:t>года в Акционерное общество «</w:t>
      </w:r>
      <w:proofErr w:type="spellStart"/>
      <w:r w:rsidR="00C4000B">
        <w:t>Новосибирскэнергосбыт</w:t>
      </w:r>
      <w:proofErr w:type="spellEnd"/>
      <w:r w:rsidR="00D66490">
        <w:t xml:space="preserve">» (далее также Общество) поступило </w:t>
      </w:r>
      <w:r w:rsidR="00D66490">
        <w:rPr>
          <w:b/>
        </w:rPr>
        <w:t xml:space="preserve">Обязательное </w:t>
      </w:r>
      <w:r w:rsidR="00D66490">
        <w:t xml:space="preserve">предложение о </w:t>
      </w:r>
      <w:r w:rsidR="00D66490">
        <w:rPr>
          <w:b/>
        </w:rPr>
        <w:t xml:space="preserve">приобретении </w:t>
      </w:r>
      <w:r w:rsidR="00D66490">
        <w:t xml:space="preserve">эмиссионных </w:t>
      </w:r>
      <w:r w:rsidR="00D66490">
        <w:rPr>
          <w:b/>
        </w:rPr>
        <w:t xml:space="preserve">ценных </w:t>
      </w:r>
      <w:r w:rsidR="00D66490">
        <w:t>бумаг Акционерного общества «</w:t>
      </w:r>
      <w:proofErr w:type="spellStart"/>
      <w:r w:rsidR="00C4000B">
        <w:t>Новосибирскэнергосбыт</w:t>
      </w:r>
      <w:proofErr w:type="spellEnd"/>
      <w:r w:rsidR="00D66490">
        <w:t xml:space="preserve">» (далее </w:t>
      </w:r>
      <w:r w:rsidR="00D66490">
        <w:rPr>
          <w:w w:val="90"/>
        </w:rPr>
        <w:t xml:space="preserve">— </w:t>
      </w:r>
      <w:r w:rsidR="00D66490">
        <w:t>Обязательное предложение) от</w:t>
      </w:r>
      <w:r w:rsidR="00D66490">
        <w:rPr>
          <w:spacing w:val="-6"/>
        </w:rPr>
        <w:t xml:space="preserve"> </w:t>
      </w:r>
      <w:r w:rsidR="00D66490">
        <w:t xml:space="preserve">Общества </w:t>
      </w:r>
      <w:r w:rsidR="00D66490">
        <w:rPr>
          <w:color w:val="000518"/>
        </w:rPr>
        <w:t xml:space="preserve">с </w:t>
      </w:r>
      <w:r w:rsidR="00D66490">
        <w:t>ограниченной</w:t>
      </w:r>
      <w:r w:rsidR="00D66490">
        <w:rPr>
          <w:spacing w:val="19"/>
        </w:rPr>
        <w:t xml:space="preserve"> </w:t>
      </w:r>
      <w:r w:rsidR="00D66490">
        <w:t>ответственностью</w:t>
      </w:r>
      <w:r w:rsidR="00D66490">
        <w:rPr>
          <w:spacing w:val="-4"/>
        </w:rPr>
        <w:t xml:space="preserve"> </w:t>
      </w:r>
      <w:r w:rsidR="00D66490">
        <w:t>«</w:t>
      </w:r>
      <w:proofErr w:type="spellStart"/>
      <w:r w:rsidR="00C4000B">
        <w:t>Адванс</w:t>
      </w:r>
      <w:proofErr w:type="spellEnd"/>
      <w:r w:rsidR="00C4000B">
        <w:t xml:space="preserve"> Инвест</w:t>
      </w:r>
      <w:r w:rsidR="00D66490">
        <w:t>».</w:t>
      </w:r>
    </w:p>
    <w:p w14:paraId="6F1C0BF5" w14:textId="1EAF23C1" w:rsidR="00EA2E64" w:rsidRDefault="00D66490">
      <w:pPr>
        <w:pStyle w:val="a3"/>
        <w:spacing w:line="252" w:lineRule="auto"/>
        <w:ind w:left="35" w:right="249" w:firstLine="575"/>
        <w:jc w:val="both"/>
      </w:pPr>
      <w:r>
        <w:rPr>
          <w:w w:val="105"/>
        </w:rPr>
        <w:t>Вид, категория и количество ценных бумаг Акционерного общества «</w:t>
      </w:r>
      <w:proofErr w:type="spellStart"/>
      <w:r w:rsidR="00C4000B">
        <w:rPr>
          <w:w w:val="105"/>
        </w:rPr>
        <w:t>Новосибирскэнергосбыт</w:t>
      </w:r>
      <w:proofErr w:type="spellEnd"/>
      <w:r>
        <w:rPr>
          <w:w w:val="105"/>
        </w:rPr>
        <w:t xml:space="preserve">», в отношении которых направлено Обязательное предложение: акции обыкновенные </w:t>
      </w:r>
      <w:r>
        <w:rPr>
          <w:color w:val="031636"/>
          <w:w w:val="105"/>
        </w:rPr>
        <w:t xml:space="preserve">в </w:t>
      </w:r>
      <w:r>
        <w:rPr>
          <w:w w:val="105"/>
        </w:rPr>
        <w:t xml:space="preserve">количестве </w:t>
      </w:r>
      <w:r w:rsidR="00C4000B">
        <w:rPr>
          <w:w w:val="105"/>
        </w:rPr>
        <w:t>297 151</w:t>
      </w:r>
      <w:r>
        <w:rPr>
          <w:b/>
          <w:w w:val="105"/>
        </w:rPr>
        <w:t xml:space="preserve"> штук</w:t>
      </w:r>
      <w:r w:rsidR="00C4000B">
        <w:rPr>
          <w:b/>
          <w:w w:val="105"/>
        </w:rPr>
        <w:t>а</w:t>
      </w:r>
      <w:r>
        <w:rPr>
          <w:b/>
          <w:w w:val="105"/>
        </w:rPr>
        <w:t xml:space="preserve"> (</w:t>
      </w:r>
      <w:r w:rsidR="00C4000B">
        <w:rPr>
          <w:b/>
          <w:w w:val="105"/>
        </w:rPr>
        <w:t>Двести девяносто семь тысяч сто пятьдесят одна</w:t>
      </w:r>
      <w:r>
        <w:rPr>
          <w:w w:val="105"/>
        </w:rPr>
        <w:t>)</w:t>
      </w:r>
      <w:r>
        <w:rPr>
          <w:spacing w:val="77"/>
          <w:w w:val="105"/>
        </w:rPr>
        <w:t xml:space="preserve"> </w:t>
      </w:r>
      <w:r>
        <w:rPr>
          <w:w w:val="105"/>
        </w:rPr>
        <w:t>штук</w:t>
      </w:r>
      <w:r w:rsidR="00C4000B">
        <w:rPr>
          <w:w w:val="105"/>
        </w:rPr>
        <w:t>а</w:t>
      </w:r>
      <w:r>
        <w:rPr>
          <w:w w:val="105"/>
        </w:rPr>
        <w:t>;</w:t>
      </w:r>
    </w:p>
    <w:p w14:paraId="2203A56D" w14:textId="6F858AED" w:rsidR="00EA2E64" w:rsidRDefault="00D66490">
      <w:pPr>
        <w:pStyle w:val="a3"/>
        <w:spacing w:before="8"/>
        <w:ind w:left="610"/>
        <w:jc w:val="both"/>
        <w:rPr>
          <w:b/>
        </w:rPr>
      </w:pPr>
      <w:r>
        <w:t>государственный</w:t>
      </w:r>
      <w:r>
        <w:rPr>
          <w:spacing w:val="-9"/>
        </w:rPr>
        <w:t xml:space="preserve"> </w:t>
      </w:r>
      <w:r>
        <w:t>регистрационный</w:t>
      </w:r>
      <w:r>
        <w:rPr>
          <w:spacing w:val="5"/>
        </w:rPr>
        <w:t xml:space="preserve"> </w:t>
      </w:r>
      <w:r>
        <w:t>номер</w:t>
      </w:r>
      <w:r>
        <w:rPr>
          <w:spacing w:val="5"/>
        </w:rPr>
        <w:t xml:space="preserve"> </w:t>
      </w:r>
      <w:r>
        <w:t>выпуска</w:t>
      </w:r>
      <w:r>
        <w:rPr>
          <w:spacing w:val="6"/>
        </w:rPr>
        <w:t xml:space="preserve"> </w:t>
      </w:r>
      <w:r>
        <w:t>ценных</w:t>
      </w:r>
      <w:r>
        <w:rPr>
          <w:spacing w:val="6"/>
        </w:rPr>
        <w:t xml:space="preserve"> </w:t>
      </w:r>
      <w:r>
        <w:t>бумаг:</w:t>
      </w:r>
      <w:r>
        <w:rPr>
          <w:spacing w:val="3"/>
        </w:rPr>
        <w:t xml:space="preserve"> </w:t>
      </w:r>
      <w:r w:rsidR="00C4000B">
        <w:rPr>
          <w:b/>
        </w:rPr>
        <w:t>1-01-55265-Е от 13.02.2007г</w:t>
      </w:r>
      <w:r>
        <w:rPr>
          <w:b/>
          <w:spacing w:val="-5"/>
        </w:rPr>
        <w:t>;</w:t>
      </w:r>
    </w:p>
    <w:p w14:paraId="00EDFDF9" w14:textId="425BD4FF" w:rsidR="00EA2E64" w:rsidRDefault="00D66490">
      <w:pPr>
        <w:pStyle w:val="a3"/>
        <w:spacing w:before="2" w:line="249" w:lineRule="auto"/>
        <w:ind w:left="39" w:right="258" w:firstLine="569"/>
        <w:jc w:val="both"/>
      </w:pPr>
      <w:r>
        <w:t xml:space="preserve">предлагаемая цена приобретения обыкновенных акций Общества: </w:t>
      </w:r>
      <w:r w:rsidR="00D34A10">
        <w:t>775</w:t>
      </w:r>
      <w:r>
        <w:t xml:space="preserve"> рубл</w:t>
      </w:r>
      <w:r w:rsidR="00D34A10">
        <w:t>ей</w:t>
      </w:r>
      <w:r>
        <w:t xml:space="preserve"> </w:t>
      </w:r>
      <w:proofErr w:type="gramStart"/>
      <w:r w:rsidR="00D34A10">
        <w:rPr>
          <w:color w:val="000513"/>
        </w:rPr>
        <w:t xml:space="preserve">00 </w:t>
      </w:r>
      <w:r>
        <w:rPr>
          <w:color w:val="000513"/>
        </w:rPr>
        <w:t xml:space="preserve"> </w:t>
      </w:r>
      <w:r>
        <w:t>копеек</w:t>
      </w:r>
      <w:proofErr w:type="gramEnd"/>
      <w:r>
        <w:t xml:space="preserve"> за одну </w:t>
      </w:r>
      <w:r>
        <w:rPr>
          <w:spacing w:val="-2"/>
        </w:rPr>
        <w:t>акцию.</w:t>
      </w:r>
    </w:p>
    <w:p w14:paraId="4534F5D9" w14:textId="77777777" w:rsidR="00EA2E64" w:rsidRDefault="00D66490">
      <w:pPr>
        <w:spacing w:before="237"/>
        <w:ind w:left="600"/>
      </w:pPr>
      <w:r>
        <w:rPr>
          <w:b/>
        </w:rPr>
        <w:t>Оценка</w:t>
      </w:r>
      <w:r>
        <w:rPr>
          <w:b/>
          <w:spacing w:val="36"/>
        </w:rPr>
        <w:t xml:space="preserve"> </w:t>
      </w:r>
      <w:r>
        <w:t>предложенной</w:t>
      </w:r>
      <w:r>
        <w:rPr>
          <w:spacing w:val="53"/>
        </w:rPr>
        <w:t xml:space="preserve"> </w:t>
      </w:r>
      <w:r>
        <w:t>цены</w:t>
      </w:r>
      <w:r>
        <w:rPr>
          <w:spacing w:val="32"/>
        </w:rPr>
        <w:t xml:space="preserve"> </w:t>
      </w:r>
      <w:r>
        <w:t>приобретаемых</w:t>
      </w:r>
      <w:r>
        <w:rPr>
          <w:spacing w:val="46"/>
        </w:rPr>
        <w:t xml:space="preserve"> </w:t>
      </w:r>
      <w:r>
        <w:rPr>
          <w:b/>
        </w:rPr>
        <w:t>ценных</w:t>
      </w:r>
      <w:r>
        <w:rPr>
          <w:b/>
          <w:spacing w:val="23"/>
        </w:rPr>
        <w:t xml:space="preserve"> </w:t>
      </w:r>
      <w:r>
        <w:rPr>
          <w:spacing w:val="-2"/>
        </w:rPr>
        <w:t>бумаг:</w:t>
      </w:r>
    </w:p>
    <w:p w14:paraId="1BC86F1C" w14:textId="5560CCA0" w:rsidR="00EA2E64" w:rsidRDefault="00D66490">
      <w:pPr>
        <w:pStyle w:val="a4"/>
        <w:numPr>
          <w:ilvl w:val="0"/>
          <w:numId w:val="1"/>
        </w:numPr>
        <w:tabs>
          <w:tab w:val="left" w:pos="846"/>
        </w:tabs>
        <w:spacing w:before="7" w:line="232" w:lineRule="auto"/>
        <w:ind w:right="1471" w:firstLine="0"/>
      </w:pP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соответствии</w:t>
      </w:r>
      <w:r>
        <w:t xml:space="preserve"> </w:t>
      </w:r>
      <w:r>
        <w:rPr>
          <w:color w:val="00001A"/>
          <w:spacing w:val="-2"/>
        </w:rPr>
        <w:t>с</w:t>
      </w:r>
      <w:r>
        <w:rPr>
          <w:color w:val="00001A"/>
          <w:spacing w:val="-7"/>
        </w:rPr>
        <w:t xml:space="preserve"> </w:t>
      </w:r>
      <w:r>
        <w:rPr>
          <w:spacing w:val="-2"/>
        </w:rPr>
        <w:t>Обязательным</w:t>
      </w:r>
      <w:r>
        <w:rPr>
          <w:spacing w:val="16"/>
        </w:rPr>
        <w:t xml:space="preserve"> </w:t>
      </w:r>
      <w:r>
        <w:rPr>
          <w:spacing w:val="-2"/>
        </w:rPr>
        <w:t>предложением</w:t>
      </w:r>
      <w:r>
        <w:rPr>
          <w:spacing w:val="18"/>
        </w:rPr>
        <w:t xml:space="preserve"> </w:t>
      </w:r>
      <w:r>
        <w:rPr>
          <w:spacing w:val="-2"/>
        </w:rPr>
        <w:t>предлагаемая</w:t>
      </w:r>
      <w:r>
        <w:rPr>
          <w:spacing w:val="14"/>
        </w:rPr>
        <w:t xml:space="preserve"> </w:t>
      </w:r>
      <w:r>
        <w:rPr>
          <w:spacing w:val="-2"/>
        </w:rPr>
        <w:t xml:space="preserve">цена приобретения: </w:t>
      </w:r>
      <w:r>
        <w:t xml:space="preserve">обыкновенных акций Общества составляет </w:t>
      </w:r>
      <w:r w:rsidR="00D34A10">
        <w:t xml:space="preserve">775 </w:t>
      </w:r>
      <w:proofErr w:type="gramStart"/>
      <w:r>
        <w:t>рубл</w:t>
      </w:r>
      <w:r w:rsidR="00D34A10">
        <w:t xml:space="preserve">ей </w:t>
      </w:r>
      <w:r>
        <w:t xml:space="preserve"> </w:t>
      </w:r>
      <w:r w:rsidR="00D34A10">
        <w:t>00</w:t>
      </w:r>
      <w:proofErr w:type="gramEnd"/>
      <w:r w:rsidR="00D34A10">
        <w:t xml:space="preserve"> </w:t>
      </w:r>
      <w:r>
        <w:t>копеек за одну акцию;</w:t>
      </w:r>
    </w:p>
    <w:p w14:paraId="735B4BFA" w14:textId="454D2A41" w:rsidR="00EA2E64" w:rsidRDefault="00D66490">
      <w:pPr>
        <w:pStyle w:val="a3"/>
        <w:tabs>
          <w:tab w:val="left" w:pos="1153"/>
          <w:tab w:val="left" w:pos="2021"/>
          <w:tab w:val="left" w:pos="3141"/>
          <w:tab w:val="left" w:pos="4313"/>
          <w:tab w:val="left" w:pos="5071"/>
          <w:tab w:val="left" w:pos="6626"/>
          <w:tab w:val="left" w:pos="8502"/>
        </w:tabs>
        <w:spacing w:before="3"/>
        <w:ind w:left="37" w:right="279" w:firstLine="563"/>
      </w:pPr>
      <w:r>
        <w:rPr>
          <w:spacing w:val="-4"/>
        </w:rPr>
        <w:t>Для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рыночной</w:t>
      </w:r>
      <w:r>
        <w:tab/>
      </w:r>
      <w:r>
        <w:rPr>
          <w:spacing w:val="-2"/>
        </w:rPr>
        <w:t>стоимости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обыкновенной</w:t>
      </w:r>
      <w:r>
        <w:tab/>
        <w:t>акции</w:t>
      </w:r>
      <w:r>
        <w:rPr>
          <w:spacing w:val="80"/>
        </w:rPr>
        <w:t xml:space="preserve"> </w:t>
      </w:r>
      <w:r>
        <w:t>Общества</w:t>
      </w:r>
      <w:r>
        <w:tab/>
      </w:r>
      <w:r>
        <w:rPr>
          <w:spacing w:val="-4"/>
        </w:rPr>
        <w:t xml:space="preserve">привлекался </w:t>
      </w:r>
      <w:r>
        <w:t>независимый</w:t>
      </w:r>
      <w:r>
        <w:rPr>
          <w:spacing w:val="25"/>
        </w:rPr>
        <w:t xml:space="preserve"> </w:t>
      </w:r>
      <w:r>
        <w:t>оценщик</w:t>
      </w:r>
      <w:r w:rsidR="00B963DE">
        <w:t xml:space="preserve"> </w:t>
      </w:r>
      <w:r w:rsidR="00D34A10">
        <w:t>ООО Консалтинг групп «</w:t>
      </w:r>
      <w:proofErr w:type="spellStart"/>
      <w:r w:rsidR="00D34A10">
        <w:t>Праймаудит</w:t>
      </w:r>
      <w:proofErr w:type="spellEnd"/>
      <w:r>
        <w:t>.</w:t>
      </w:r>
      <w:r>
        <w:rPr>
          <w:spacing w:val="21"/>
        </w:rPr>
        <w:t xml:space="preserve"> </w:t>
      </w:r>
      <w:r w:rsidR="009D381C" w:rsidRPr="009D381C">
        <w:t>(Отчет об оценке</w:t>
      </w:r>
      <w:r w:rsidR="009D381C">
        <w:t xml:space="preserve"> №156/1/2025-) 29.12.2025г.) </w:t>
      </w:r>
      <w:r w:rsidR="009D381C" w:rsidRPr="009D381C">
        <w:t xml:space="preserve"> </w:t>
      </w:r>
      <w:r>
        <w:t>Рыночная стоимость на</w:t>
      </w:r>
      <w:r>
        <w:rPr>
          <w:spacing w:val="-2"/>
        </w:rPr>
        <w:t xml:space="preserve"> </w:t>
      </w:r>
      <w:r>
        <w:t>дату оценки составила:</w:t>
      </w:r>
    </w:p>
    <w:p w14:paraId="107EA89D" w14:textId="1569C595" w:rsidR="00EA2E64" w:rsidRDefault="00D66490">
      <w:pPr>
        <w:pStyle w:val="a3"/>
        <w:spacing w:before="3"/>
        <w:ind w:left="600"/>
      </w:pPr>
      <w:r>
        <w:t>-</w:t>
      </w:r>
      <w:r>
        <w:rPr>
          <w:spacing w:val="-7"/>
        </w:rPr>
        <w:t xml:space="preserve"> </w:t>
      </w:r>
      <w:r>
        <w:t>одной</w:t>
      </w:r>
      <w:r>
        <w:rPr>
          <w:spacing w:val="7"/>
        </w:rPr>
        <w:t xml:space="preserve"> </w:t>
      </w:r>
      <w:r>
        <w:t>обыкновенной</w:t>
      </w:r>
      <w:r>
        <w:rPr>
          <w:spacing w:val="14"/>
        </w:rPr>
        <w:t xml:space="preserve"> </w:t>
      </w:r>
      <w:r>
        <w:t>акции</w:t>
      </w:r>
      <w:r>
        <w:rPr>
          <w:spacing w:val="2"/>
        </w:rPr>
        <w:t xml:space="preserve"> </w:t>
      </w:r>
      <w:r w:rsidR="00D34A10">
        <w:rPr>
          <w:color w:val="030303"/>
        </w:rPr>
        <w:t>–</w:t>
      </w:r>
      <w:r>
        <w:rPr>
          <w:color w:val="030303"/>
          <w:spacing w:val="-4"/>
        </w:rPr>
        <w:t xml:space="preserve"> </w:t>
      </w:r>
      <w:r w:rsidR="00D34A10">
        <w:t xml:space="preserve">775 </w:t>
      </w:r>
      <w:proofErr w:type="gramStart"/>
      <w:r>
        <w:t>рубл</w:t>
      </w:r>
      <w:r w:rsidR="00D34A10">
        <w:t xml:space="preserve">ей </w:t>
      </w:r>
      <w:r>
        <w:rPr>
          <w:spacing w:val="2"/>
        </w:rPr>
        <w:t xml:space="preserve"> </w:t>
      </w:r>
      <w:r w:rsidR="00D34A10">
        <w:t>00</w:t>
      </w:r>
      <w:proofErr w:type="gramEnd"/>
      <w:r w:rsidR="00D34A10"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копеек;</w:t>
      </w:r>
    </w:p>
    <w:p w14:paraId="66174D00" w14:textId="77777777" w:rsidR="00EA2E64" w:rsidRDefault="00EA2E64">
      <w:pPr>
        <w:pStyle w:val="a3"/>
        <w:spacing w:before="4"/>
      </w:pPr>
    </w:p>
    <w:p w14:paraId="26F1DB28" w14:textId="77777777" w:rsidR="00EA2E64" w:rsidRDefault="00D66490">
      <w:pPr>
        <w:pStyle w:val="a4"/>
        <w:numPr>
          <w:ilvl w:val="0"/>
          <w:numId w:val="1"/>
        </w:numPr>
        <w:tabs>
          <w:tab w:val="left" w:pos="837"/>
        </w:tabs>
        <w:spacing w:line="237" w:lineRule="auto"/>
        <w:ind w:left="37" w:firstLine="561"/>
      </w:pPr>
      <w:r>
        <w:rPr>
          <w:spacing w:val="-2"/>
        </w:rPr>
        <w:t>наибольшая</w:t>
      </w:r>
      <w:r>
        <w:t xml:space="preserve"> </w:t>
      </w:r>
      <w:r>
        <w:rPr>
          <w:spacing w:val="-2"/>
        </w:rPr>
        <w:t>цена сделки,</w:t>
      </w:r>
      <w: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которой</w:t>
      </w:r>
      <w:r>
        <w:rPr>
          <w:spacing w:val="4"/>
        </w:rPr>
        <w:t xml:space="preserve"> </w:t>
      </w:r>
      <w:r>
        <w:rPr>
          <w:spacing w:val="-2"/>
        </w:rPr>
        <w:t>приобретались</w:t>
      </w:r>
      <w:r>
        <w:rPr>
          <w:spacing w:val="5"/>
        </w:rPr>
        <w:t xml:space="preserve"> </w:t>
      </w:r>
      <w:r>
        <w:rPr>
          <w:spacing w:val="-2"/>
        </w:rPr>
        <w:t>акции</w:t>
      </w:r>
      <w:r>
        <w:rPr>
          <w:spacing w:val="-8"/>
        </w:rPr>
        <w:t xml:space="preserve"> </w:t>
      </w:r>
      <w:r>
        <w:rPr>
          <w:spacing w:val="-2"/>
        </w:rPr>
        <w:t>Общества</w:t>
      </w:r>
      <w:r>
        <w:rPr>
          <w:spacing w:val="-3"/>
        </w:rPr>
        <w:t xml:space="preserve"> </w:t>
      </w:r>
      <w:r>
        <w:rPr>
          <w:spacing w:val="-2"/>
        </w:rPr>
        <w:t>за</w:t>
      </w:r>
      <w:r>
        <w:rPr>
          <w:spacing w:val="-10"/>
        </w:rPr>
        <w:t xml:space="preserve"> </w:t>
      </w:r>
      <w:r>
        <w:rPr>
          <w:spacing w:val="-2"/>
        </w:rPr>
        <w:t>последние</w:t>
      </w:r>
      <w:r>
        <w:rPr>
          <w:spacing w:val="-3"/>
        </w:rPr>
        <w:t xml:space="preserve"> </w:t>
      </w:r>
      <w:r>
        <w:rPr>
          <w:spacing w:val="-2"/>
        </w:rPr>
        <w:t>6</w:t>
      </w:r>
      <w:r>
        <w:rPr>
          <w:spacing w:val="-12"/>
        </w:rPr>
        <w:t xml:space="preserve"> </w:t>
      </w:r>
      <w:r>
        <w:rPr>
          <w:spacing w:val="-2"/>
        </w:rPr>
        <w:t xml:space="preserve">месяцев, </w:t>
      </w:r>
      <w:r>
        <w:t>предшествующих</w:t>
      </w:r>
      <w:r>
        <w:rPr>
          <w:spacing w:val="-14"/>
        </w:rPr>
        <w:t xml:space="preserve"> </w:t>
      </w:r>
      <w:r>
        <w:t>дате направления</w:t>
      </w:r>
      <w:r>
        <w:rPr>
          <w:spacing w:val="17"/>
        </w:rPr>
        <w:t xml:space="preserve"> </w:t>
      </w:r>
      <w:r>
        <w:t>Обязательного</w:t>
      </w:r>
      <w:r>
        <w:rPr>
          <w:spacing w:val="21"/>
        </w:rPr>
        <w:t xml:space="preserve"> </w:t>
      </w:r>
      <w:r>
        <w:t>предложения</w:t>
      </w:r>
      <w:r>
        <w:rPr>
          <w:spacing w:val="29"/>
        </w:rPr>
        <w:t xml:space="preserve"> </w:t>
      </w:r>
      <w:r>
        <w:rPr>
          <w:color w:val="000A1A"/>
        </w:rPr>
        <w:t>в</w:t>
      </w:r>
      <w:r>
        <w:rPr>
          <w:color w:val="000A1A"/>
          <w:spacing w:val="-3"/>
        </w:rPr>
        <w:t xml:space="preserve"> </w:t>
      </w:r>
      <w:r>
        <w:t>Общество:</w:t>
      </w:r>
    </w:p>
    <w:p w14:paraId="2771656D" w14:textId="77777777" w:rsidR="00EA2E64" w:rsidRDefault="00D66490">
      <w:pPr>
        <w:pStyle w:val="a3"/>
        <w:spacing w:line="242" w:lineRule="auto"/>
        <w:ind w:left="32" w:firstLine="564"/>
      </w:pPr>
      <w:r>
        <w:t>Акции</w:t>
      </w:r>
      <w:r>
        <w:rPr>
          <w:spacing w:val="20"/>
        </w:rPr>
        <w:t xml:space="preserve"> </w:t>
      </w:r>
      <w:r>
        <w:t>Общества</w:t>
      </w:r>
      <w:r>
        <w:rPr>
          <w:spacing w:val="33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последние</w:t>
      </w:r>
      <w:r>
        <w:rPr>
          <w:spacing w:val="29"/>
        </w:rPr>
        <w:t xml:space="preserve"> </w:t>
      </w:r>
      <w:r>
        <w:rPr>
          <w:color w:val="00052D"/>
        </w:rPr>
        <w:t>6</w:t>
      </w:r>
      <w:r>
        <w:rPr>
          <w:color w:val="00052D"/>
          <w:spacing w:val="17"/>
        </w:rPr>
        <w:t xml:space="preserve"> </w:t>
      </w:r>
      <w:r>
        <w:t>месяцев,</w:t>
      </w:r>
      <w:r>
        <w:rPr>
          <w:spacing w:val="31"/>
        </w:rPr>
        <w:t xml:space="preserve"> </w:t>
      </w:r>
      <w:r>
        <w:t>предшествующих дате</w:t>
      </w:r>
      <w:r>
        <w:rPr>
          <w:spacing w:val="20"/>
        </w:rPr>
        <w:t xml:space="preserve"> </w:t>
      </w:r>
      <w:r>
        <w:t>направления</w:t>
      </w:r>
      <w:r>
        <w:rPr>
          <w:spacing w:val="36"/>
        </w:rPr>
        <w:t xml:space="preserve"> </w:t>
      </w:r>
      <w:r>
        <w:t>Обязательного предложения</w:t>
      </w:r>
      <w:r>
        <w:rPr>
          <w:spacing w:val="40"/>
        </w:rPr>
        <w:t xml:space="preserve"> </w:t>
      </w:r>
      <w:proofErr w:type="gramStart"/>
      <w:r>
        <w:t>в Общество</w:t>
      </w:r>
      <w:proofErr w:type="gramEnd"/>
      <w:r>
        <w:t xml:space="preserve"> не приобретались.</w:t>
      </w:r>
    </w:p>
    <w:p w14:paraId="444CBC8C" w14:textId="77777777" w:rsidR="00EA2E64" w:rsidRDefault="00D66490">
      <w:pPr>
        <w:pStyle w:val="a3"/>
        <w:spacing w:line="242" w:lineRule="auto"/>
        <w:ind w:left="37" w:firstLine="560"/>
      </w:pPr>
      <w:r>
        <w:t>Таким</w:t>
      </w:r>
      <w:r>
        <w:rPr>
          <w:spacing w:val="70"/>
        </w:rPr>
        <w:t xml:space="preserve"> </w:t>
      </w:r>
      <w:r>
        <w:t>образом,</w:t>
      </w:r>
      <w:r>
        <w:rPr>
          <w:spacing w:val="71"/>
        </w:rPr>
        <w:t xml:space="preserve"> </w:t>
      </w:r>
      <w:r>
        <w:rPr>
          <w:color w:val="1C1C1C"/>
        </w:rPr>
        <w:t>Совет</w:t>
      </w:r>
      <w:r>
        <w:rPr>
          <w:color w:val="1C1C1C"/>
          <w:spacing w:val="40"/>
        </w:rPr>
        <w:t xml:space="preserve"> </w:t>
      </w:r>
      <w:r>
        <w:t>директоров</w:t>
      </w:r>
      <w:r>
        <w:rPr>
          <w:spacing w:val="66"/>
        </w:rPr>
        <w:t xml:space="preserve"> </w:t>
      </w:r>
      <w:r>
        <w:t>считает</w:t>
      </w:r>
      <w:r>
        <w:rPr>
          <w:spacing w:val="40"/>
        </w:rPr>
        <w:t xml:space="preserve"> </w:t>
      </w:r>
      <w:r>
        <w:t>указанную</w:t>
      </w:r>
      <w:r>
        <w:rPr>
          <w:spacing w:val="6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Обязательном</w:t>
      </w:r>
      <w:r>
        <w:rPr>
          <w:spacing w:val="80"/>
        </w:rPr>
        <w:t xml:space="preserve"> </w:t>
      </w:r>
      <w:r>
        <w:t>предложении</w:t>
      </w:r>
      <w:r>
        <w:rPr>
          <w:spacing w:val="75"/>
        </w:rPr>
        <w:t xml:space="preserve"> </w:t>
      </w:r>
      <w:r>
        <w:t>цену приобретения</w:t>
      </w:r>
      <w:r>
        <w:rPr>
          <w:spacing w:val="25"/>
        </w:rPr>
        <w:t xml:space="preserve"> </w:t>
      </w:r>
      <w:r>
        <w:t>обыкновенных</w:t>
      </w:r>
      <w:r>
        <w:rPr>
          <w:spacing w:val="77"/>
        </w:rPr>
        <w:t xml:space="preserve"> </w:t>
      </w:r>
      <w:r>
        <w:t>акций Общества справедливой</w:t>
      </w:r>
      <w:r>
        <w:rPr>
          <w:spacing w:val="21"/>
        </w:rPr>
        <w:t xml:space="preserve"> </w:t>
      </w:r>
      <w:r>
        <w:t>и обоснованной.</w:t>
      </w:r>
    </w:p>
    <w:p w14:paraId="4EEA184E" w14:textId="0A8B6392" w:rsidR="00EA2E64" w:rsidRDefault="00D66490">
      <w:pPr>
        <w:spacing w:before="237"/>
        <w:ind w:left="25" w:right="257" w:firstLine="565"/>
        <w:jc w:val="both"/>
      </w:pPr>
      <w:r>
        <w:t>Возможные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rPr>
          <w:b/>
        </w:rPr>
        <w:t>рыночной</w:t>
      </w:r>
      <w:r>
        <w:rPr>
          <w:b/>
          <w:spacing w:val="37"/>
        </w:rPr>
        <w:t xml:space="preserve"> </w:t>
      </w:r>
      <w:r>
        <w:t>стоимости</w:t>
      </w:r>
      <w:r>
        <w:rPr>
          <w:spacing w:val="40"/>
        </w:rPr>
        <w:t xml:space="preserve"> </w:t>
      </w:r>
      <w:r>
        <w:rPr>
          <w:b/>
        </w:rPr>
        <w:t xml:space="preserve">ценных </w:t>
      </w:r>
      <w:r>
        <w:t>бумаг</w:t>
      </w:r>
      <w:r>
        <w:rPr>
          <w:spacing w:val="35"/>
        </w:rPr>
        <w:t xml:space="preserve"> </w:t>
      </w:r>
      <w:r>
        <w:rPr>
          <w:b/>
        </w:rPr>
        <w:t>после</w:t>
      </w:r>
      <w:r>
        <w:rPr>
          <w:b/>
          <w:spacing w:val="34"/>
        </w:rPr>
        <w:t xml:space="preserve"> </w:t>
      </w:r>
      <w:r>
        <w:rPr>
          <w:b/>
        </w:rPr>
        <w:t xml:space="preserve">приобретения </w:t>
      </w:r>
      <w:r>
        <w:t xml:space="preserve">их Обществом </w:t>
      </w:r>
      <w:r>
        <w:rPr>
          <w:b/>
          <w:color w:val="000011"/>
        </w:rPr>
        <w:t xml:space="preserve">с </w:t>
      </w:r>
      <w:r>
        <w:rPr>
          <w:b/>
        </w:rPr>
        <w:t>ограниченной ответственностью «</w:t>
      </w:r>
      <w:proofErr w:type="spellStart"/>
      <w:r w:rsidR="00D34A10">
        <w:rPr>
          <w:b/>
        </w:rPr>
        <w:t>Адванс</w:t>
      </w:r>
      <w:proofErr w:type="spellEnd"/>
      <w:r w:rsidR="00D34A10">
        <w:rPr>
          <w:b/>
        </w:rPr>
        <w:t xml:space="preserve"> Инвест</w:t>
      </w:r>
      <w:r>
        <w:rPr>
          <w:b/>
        </w:rPr>
        <w:t xml:space="preserve">»: </w:t>
      </w:r>
      <w:r>
        <w:t xml:space="preserve">рыночная стоимость акций Общества </w:t>
      </w:r>
      <w:r>
        <w:rPr>
          <w:color w:val="011321"/>
        </w:rPr>
        <w:t>в</w:t>
      </w:r>
      <w:r>
        <w:rPr>
          <w:color w:val="011321"/>
          <w:spacing w:val="-10"/>
        </w:rPr>
        <w:t xml:space="preserve"> </w:t>
      </w:r>
      <w:r>
        <w:t xml:space="preserve">будущем может изменяться под воздействием многих факторов, </w:t>
      </w:r>
      <w:r>
        <w:rPr>
          <w:color w:val="050016"/>
        </w:rPr>
        <w:t xml:space="preserve">в </w:t>
      </w:r>
      <w:r>
        <w:t xml:space="preserve">том числе изменения результатов деятельности Общества, изменения размеров доходов </w:t>
      </w:r>
      <w:r>
        <w:rPr>
          <w:color w:val="031326"/>
        </w:rPr>
        <w:t xml:space="preserve">и </w:t>
      </w:r>
      <w:r>
        <w:t>иных событий и факторов, находящихся</w:t>
      </w:r>
      <w:r>
        <w:rPr>
          <w:spacing w:val="26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сферы контроля Общества.</w:t>
      </w:r>
    </w:p>
    <w:p w14:paraId="05B35330" w14:textId="5D6B1D31" w:rsidR="00EA2E64" w:rsidRDefault="00D66490">
      <w:pPr>
        <w:pStyle w:val="a3"/>
        <w:spacing w:before="252"/>
        <w:ind w:left="17" w:right="250" w:firstLine="568"/>
        <w:jc w:val="both"/>
      </w:pPr>
      <w:r>
        <w:rPr>
          <w:b/>
        </w:rPr>
        <w:t xml:space="preserve">Оценка планов </w:t>
      </w:r>
      <w:r>
        <w:t xml:space="preserve">Общества с </w:t>
      </w:r>
      <w:r w:rsidR="00B963DE">
        <w:t>ограниченной ответственностью «</w:t>
      </w:r>
      <w:proofErr w:type="spellStart"/>
      <w:r w:rsidR="00D34A10">
        <w:t>Адванс</w:t>
      </w:r>
      <w:proofErr w:type="spellEnd"/>
      <w:r w:rsidR="00D34A10">
        <w:t xml:space="preserve"> Инвест</w:t>
      </w:r>
      <w:r>
        <w:t>»</w:t>
      </w:r>
      <w:r>
        <w:rPr>
          <w:spacing w:val="40"/>
        </w:rPr>
        <w:t xml:space="preserve"> </w:t>
      </w:r>
      <w:r>
        <w:rPr>
          <w:b/>
        </w:rPr>
        <w:t>в отношении Акционерного общества «</w:t>
      </w:r>
      <w:proofErr w:type="spellStart"/>
      <w:r w:rsidR="00D34A10">
        <w:rPr>
          <w:b/>
        </w:rPr>
        <w:t>Новосибирскэнергосбыт</w:t>
      </w:r>
      <w:proofErr w:type="spellEnd"/>
      <w:r>
        <w:t>», в том числе в отношении его работников: Общество с ограниченной ответственностью «</w:t>
      </w:r>
      <w:proofErr w:type="spellStart"/>
      <w:r w:rsidR="00D34A10">
        <w:t>Адванс</w:t>
      </w:r>
      <w:proofErr w:type="spellEnd"/>
      <w:r w:rsidR="00D34A10">
        <w:t xml:space="preserve"> Инвест</w:t>
      </w:r>
      <w:r>
        <w:t>» планирует разрабатывать перспективные направления в рамках уставной деятельности Общества при реализации передовых управленческих решений.</w:t>
      </w:r>
    </w:p>
    <w:p w14:paraId="4B8B0CAA" w14:textId="77777777" w:rsidR="00EA2E64" w:rsidRDefault="00EA2E64">
      <w:pPr>
        <w:pStyle w:val="a3"/>
        <w:spacing w:before="116"/>
      </w:pPr>
    </w:p>
    <w:p w14:paraId="3071A063" w14:textId="682CEDA9" w:rsidR="00EA2E64" w:rsidRDefault="00D66490">
      <w:pPr>
        <w:pStyle w:val="a3"/>
        <w:ind w:left="13" w:right="274" w:firstLine="568"/>
        <w:jc w:val="both"/>
      </w:pPr>
      <w:r>
        <w:t>Срок принятия обязательного предложения (срок, в течение которого заявление о продаже ценных бумаг должно быть получено регистратором Акционерного общества «</w:t>
      </w:r>
      <w:proofErr w:type="spellStart"/>
      <w:r w:rsidR="00D34A10">
        <w:t>Новосибирскэнергосбыт</w:t>
      </w:r>
      <w:proofErr w:type="spellEnd"/>
      <w:r>
        <w:t xml:space="preserve">» - Акционерным обществом «Новый регистратор») </w:t>
      </w:r>
      <w:r w:rsidRPr="009D381C">
        <w:t xml:space="preserve">составляет </w:t>
      </w:r>
      <w:r w:rsidR="00096288" w:rsidRPr="009D381C">
        <w:t>7</w:t>
      </w:r>
      <w:r w:rsidR="00546DB8" w:rsidRPr="009D381C">
        <w:t>0</w:t>
      </w:r>
      <w:r w:rsidRPr="009D381C">
        <w:t xml:space="preserve"> д</w:t>
      </w:r>
      <w:r w:rsidR="00546DB8" w:rsidRPr="009D381C">
        <w:t>ней</w:t>
      </w:r>
      <w:r>
        <w:t xml:space="preserve"> </w:t>
      </w:r>
      <w:r>
        <w:rPr>
          <w:color w:val="000718"/>
        </w:rPr>
        <w:t>с</w:t>
      </w:r>
      <w:r>
        <w:rPr>
          <w:color w:val="000718"/>
          <w:spacing w:val="40"/>
        </w:rPr>
        <w:t xml:space="preserve"> </w:t>
      </w:r>
      <w:r>
        <w:t>момента получения Акционерным обществом «</w:t>
      </w:r>
      <w:proofErr w:type="spellStart"/>
      <w:r w:rsidR="00D34A10">
        <w:t>Новосибирскэнергосбыт</w:t>
      </w:r>
      <w:proofErr w:type="spellEnd"/>
      <w:r>
        <w:t xml:space="preserve">» Обязательного </w:t>
      </w:r>
      <w:r>
        <w:rPr>
          <w:spacing w:val="-2"/>
        </w:rPr>
        <w:t>предложения.</w:t>
      </w:r>
    </w:p>
    <w:p w14:paraId="1222CC83" w14:textId="3C7EBBB6" w:rsidR="00EA2E64" w:rsidRDefault="00D66490">
      <w:pPr>
        <w:pStyle w:val="a3"/>
        <w:spacing w:before="124" w:line="237" w:lineRule="auto"/>
        <w:ind w:left="5" w:right="279" w:firstLine="576"/>
        <w:jc w:val="both"/>
      </w:pPr>
      <w:r>
        <w:t>Владельцы ценных бумаг, которым адресовано обязательное предложение и которые зарегистрированы в реестре</w:t>
      </w:r>
      <w:r>
        <w:rPr>
          <w:spacing w:val="40"/>
        </w:rPr>
        <w:t xml:space="preserve"> </w:t>
      </w:r>
      <w:r>
        <w:t>акционеров Акционерного общества «</w:t>
      </w:r>
      <w:proofErr w:type="spellStart"/>
      <w:r w:rsidR="00D34A10">
        <w:t>Новосибирскэнергосбыт</w:t>
      </w:r>
      <w:proofErr w:type="spellEnd"/>
      <w:r>
        <w:t>», вправе принять его путем направления Заявления о продаже ценных бумаг или отзыв такого заявления</w:t>
      </w:r>
      <w:r>
        <w:rPr>
          <w:spacing w:val="40"/>
        </w:rPr>
        <w:t xml:space="preserve"> </w:t>
      </w:r>
      <w:r>
        <w:t>регистратору Акционерного общества «</w:t>
      </w:r>
      <w:proofErr w:type="spellStart"/>
      <w:r w:rsidR="00D34A10">
        <w:t>Новосибирскэнергосбыт</w:t>
      </w:r>
      <w:proofErr w:type="spellEnd"/>
      <w:r>
        <w:t xml:space="preserve">» </w:t>
      </w:r>
      <w:r>
        <w:rPr>
          <w:color w:val="050505"/>
        </w:rPr>
        <w:t xml:space="preserve">- </w:t>
      </w:r>
      <w:r>
        <w:t>в Акционерное общество «Новый регистратор» путем направления по почте либо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представления такого Заявления лично по</w:t>
      </w:r>
      <w:r>
        <w:rPr>
          <w:spacing w:val="-1"/>
        </w:rPr>
        <w:t xml:space="preserve"> </w:t>
      </w:r>
      <w:r>
        <w:t>следующим адресам: 107996, ГОРОД MOCKBA, УЛИЦА БУЖЕНИНОВА,</w:t>
      </w:r>
      <w:r>
        <w:rPr>
          <w:spacing w:val="80"/>
        </w:rPr>
        <w:t xml:space="preserve"> </w:t>
      </w:r>
      <w:r>
        <w:t>ДОМ</w:t>
      </w:r>
      <w:r>
        <w:rPr>
          <w:spacing w:val="77"/>
        </w:rPr>
        <w:t xml:space="preserve"> </w:t>
      </w:r>
      <w:r>
        <w:t>30,</w:t>
      </w:r>
      <w:r>
        <w:rPr>
          <w:spacing w:val="66"/>
        </w:rPr>
        <w:t xml:space="preserve"> </w:t>
      </w:r>
      <w:r>
        <w:t>СТРОЕНИЕ</w:t>
      </w:r>
      <w:r>
        <w:rPr>
          <w:spacing w:val="80"/>
        </w:rPr>
        <w:t xml:space="preserve"> </w:t>
      </w:r>
      <w:r>
        <w:t>1,</w:t>
      </w:r>
      <w:r>
        <w:rPr>
          <w:spacing w:val="72"/>
        </w:rPr>
        <w:t xml:space="preserve"> </w:t>
      </w:r>
      <w:r>
        <w:t>ЭТ/ПОМ/КОМ</w:t>
      </w:r>
      <w:r>
        <w:rPr>
          <w:spacing w:val="80"/>
        </w:rPr>
        <w:t xml:space="preserve"> </w:t>
      </w:r>
      <w:r>
        <w:t>2/VI/32))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rPr>
          <w:color w:val="00011C"/>
        </w:rPr>
        <w:t>в</w:t>
      </w:r>
      <w:r>
        <w:rPr>
          <w:color w:val="00011C"/>
          <w:spacing w:val="68"/>
        </w:rPr>
        <w:t xml:space="preserve"> </w:t>
      </w:r>
      <w:r>
        <w:t>любой</w:t>
      </w:r>
      <w:r>
        <w:rPr>
          <w:spacing w:val="78"/>
        </w:rPr>
        <w:t xml:space="preserve"> </w:t>
      </w:r>
      <w:r>
        <w:t>из</w:t>
      </w:r>
      <w:r>
        <w:rPr>
          <w:spacing w:val="68"/>
        </w:rPr>
        <w:t xml:space="preserve"> </w:t>
      </w:r>
      <w:r>
        <w:t>филиалов</w:t>
      </w:r>
    </w:p>
    <w:p w14:paraId="5C0C6932" w14:textId="77777777" w:rsidR="00EA2E64" w:rsidRDefault="00EA2E64">
      <w:pPr>
        <w:pStyle w:val="a3"/>
        <w:spacing w:line="237" w:lineRule="auto"/>
        <w:jc w:val="both"/>
        <w:sectPr w:rsidR="00EA2E64">
          <w:type w:val="continuous"/>
          <w:pgSz w:w="11900" w:h="16840"/>
          <w:pgMar w:top="1060" w:right="708" w:bottom="280" w:left="1275" w:header="720" w:footer="720" w:gutter="0"/>
          <w:cols w:space="720"/>
        </w:sectPr>
      </w:pPr>
    </w:p>
    <w:p w14:paraId="632C986D" w14:textId="77777777" w:rsidR="00EA2E64" w:rsidRDefault="00D66490">
      <w:pPr>
        <w:pStyle w:val="a3"/>
        <w:spacing w:before="73"/>
        <w:ind w:left="173"/>
        <w:jc w:val="both"/>
      </w:pPr>
      <w:r>
        <w:rPr>
          <w:spacing w:val="-2"/>
        </w:rPr>
        <w:lastRenderedPageBreak/>
        <w:t>регистратора,</w:t>
      </w:r>
      <w:r>
        <w:rPr>
          <w:spacing w:val="14"/>
        </w:rPr>
        <w:t xml:space="preserve"> </w:t>
      </w:r>
      <w:r>
        <w:rPr>
          <w:spacing w:val="-2"/>
        </w:rPr>
        <w:t>расположенных</w:t>
      </w:r>
      <w:r>
        <w:rPr>
          <w:spacing w:val="17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территории</w:t>
      </w:r>
      <w:r>
        <w:rPr>
          <w:spacing w:val="20"/>
        </w:rPr>
        <w:t xml:space="preserve"> </w:t>
      </w:r>
      <w:r>
        <w:rPr>
          <w:spacing w:val="-2"/>
        </w:rPr>
        <w:t>Российской</w:t>
      </w:r>
      <w:r>
        <w:rPr>
          <w:spacing w:val="5"/>
        </w:rPr>
        <w:t xml:space="preserve"> </w:t>
      </w:r>
      <w:r>
        <w:rPr>
          <w:spacing w:val="-2"/>
        </w:rPr>
        <w:t>Федерации</w:t>
      </w:r>
    </w:p>
    <w:p w14:paraId="40E071B4" w14:textId="3C920A72" w:rsidR="00EA2E64" w:rsidRDefault="00D66490">
      <w:pPr>
        <w:pStyle w:val="a3"/>
        <w:spacing w:before="112"/>
        <w:ind w:left="155" w:right="139" w:firstLine="575"/>
        <w:jc w:val="both"/>
      </w:pPr>
      <w:r>
        <w:t>Владельцы ценных бумаг, не зарегистрированные в реестре акционеров Акционерного общества «</w:t>
      </w:r>
      <w:proofErr w:type="spellStart"/>
      <w:r w:rsidR="00D34A10">
        <w:t>Новосибирскэнергосбыт</w:t>
      </w:r>
      <w:proofErr w:type="spellEnd"/>
      <w:r>
        <w:t xml:space="preserve">», осуществляют свое право принять обязательное предложение путем дачи соответствующих указаний (инструкций) </w:t>
      </w:r>
      <w:r>
        <w:rPr>
          <w:color w:val="111111"/>
        </w:rPr>
        <w:t xml:space="preserve">о </w:t>
      </w:r>
      <w:r>
        <w:t xml:space="preserve">направлении Заявления о продаже ценных бумаг или отзыве такого Заявления лицу, которое осуществляет учет их прав на акции Общества. В этом случае такое указание (инструкция) дается в соответствии </w:t>
      </w:r>
      <w:r>
        <w:rPr>
          <w:color w:val="000111"/>
        </w:rPr>
        <w:t xml:space="preserve">с </w:t>
      </w:r>
      <w:r>
        <w:t>правилами законодательства Российской Федерации о ценных бумагах и должно содержать сведения о количестве акций каждой категории (типа), выкупа которых требует акционер.</w:t>
      </w:r>
    </w:p>
    <w:p w14:paraId="7D76D3A3" w14:textId="77777777" w:rsidR="00EA2E64" w:rsidRDefault="00D66490">
      <w:pPr>
        <w:pStyle w:val="a3"/>
        <w:spacing w:before="121"/>
        <w:ind w:left="157" w:right="147" w:firstLine="572"/>
        <w:jc w:val="both"/>
      </w:pPr>
      <w:r>
        <w:t>В Заявлении о продаже ценных бумаг должны быть указаны сведения, позволяющие идентифицировать</w:t>
      </w:r>
      <w:r>
        <w:rPr>
          <w:spacing w:val="-4"/>
        </w:rPr>
        <w:t xml:space="preserve"> </w:t>
      </w:r>
      <w:r>
        <w:t>владельца ценных бумаг, вид, категория и количество ценных бумаг, которые их владелец согласен продать лицу, направившему</w:t>
      </w:r>
      <w:r>
        <w:rPr>
          <w:spacing w:val="20"/>
        </w:rPr>
        <w:t xml:space="preserve"> </w:t>
      </w:r>
      <w:r>
        <w:t>Обязательное</w:t>
      </w:r>
      <w:r>
        <w:rPr>
          <w:spacing w:val="22"/>
        </w:rPr>
        <w:t xml:space="preserve"> </w:t>
      </w:r>
      <w:r>
        <w:t>предложение.</w:t>
      </w:r>
    </w:p>
    <w:p w14:paraId="52A21ED5" w14:textId="37B33A22" w:rsidR="00EA2E64" w:rsidRDefault="00D66490">
      <w:pPr>
        <w:pStyle w:val="a3"/>
        <w:spacing w:before="110"/>
        <w:ind w:left="155" w:right="144" w:firstLine="565"/>
        <w:jc w:val="both"/>
      </w:pPr>
      <w:r>
        <w:t xml:space="preserve">Все поступившие до истечения срока принятия Обязательного предложения заявления о продаже ценных бумаг считаются полученными Обществом </w:t>
      </w:r>
      <w:r>
        <w:rPr>
          <w:color w:val="011134"/>
        </w:rPr>
        <w:t xml:space="preserve">с </w:t>
      </w:r>
      <w:r>
        <w:t>ограниченной ответственностью «</w:t>
      </w:r>
      <w:proofErr w:type="spellStart"/>
      <w:r w:rsidR="00D34A10">
        <w:t>Адванс</w:t>
      </w:r>
      <w:proofErr w:type="spellEnd"/>
      <w:r w:rsidR="00D34A10">
        <w:t xml:space="preserve"> Инвест</w:t>
      </w:r>
      <w:r>
        <w:t>» в</w:t>
      </w:r>
      <w:r>
        <w:rPr>
          <w:spacing w:val="-3"/>
        </w:rPr>
        <w:t xml:space="preserve"> </w:t>
      </w:r>
      <w:r>
        <w:t xml:space="preserve">день </w:t>
      </w:r>
      <w:proofErr w:type="gramStart"/>
      <w:r>
        <w:t>истечения</w:t>
      </w:r>
      <w:proofErr w:type="gramEnd"/>
      <w:r>
        <w:rPr>
          <w:spacing w:val="25"/>
        </w:rPr>
        <w:t xml:space="preserve"> </w:t>
      </w:r>
      <w:r>
        <w:t>указанного выше срока.</w:t>
      </w:r>
    </w:p>
    <w:p w14:paraId="3085ACB8" w14:textId="77777777" w:rsidR="00EA2E64" w:rsidRDefault="00D66490">
      <w:pPr>
        <w:pStyle w:val="a3"/>
        <w:spacing w:before="120" w:line="244" w:lineRule="auto"/>
        <w:ind w:left="151" w:right="157" w:firstLine="563"/>
        <w:jc w:val="both"/>
      </w:pPr>
      <w:r>
        <w:t>Заявления,</w:t>
      </w:r>
      <w:r>
        <w:rPr>
          <w:spacing w:val="-2"/>
        </w:rPr>
        <w:t xml:space="preserve"> </w:t>
      </w:r>
      <w:r>
        <w:t>поступившие после</w:t>
      </w:r>
      <w:r>
        <w:rPr>
          <w:spacing w:val="-10"/>
        </w:rPr>
        <w:t xml:space="preserve"> </w:t>
      </w:r>
      <w:r>
        <w:t>даты</w:t>
      </w:r>
      <w:r>
        <w:rPr>
          <w:spacing w:val="-11"/>
        </w:rPr>
        <w:t xml:space="preserve"> </w:t>
      </w:r>
      <w:r>
        <w:t>окончания срока</w:t>
      </w:r>
      <w:r>
        <w:rPr>
          <w:spacing w:val="-9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Обязательного предложения,</w:t>
      </w:r>
      <w:r>
        <w:rPr>
          <w:spacing w:val="-4"/>
        </w:rPr>
        <w:t xml:space="preserve"> </w:t>
      </w:r>
      <w:r>
        <w:rPr>
          <w:color w:val="00000F"/>
        </w:rPr>
        <w:t xml:space="preserve">не </w:t>
      </w:r>
      <w:r>
        <w:rPr>
          <w:spacing w:val="-2"/>
        </w:rPr>
        <w:t>удовлетворяются.</w:t>
      </w:r>
    </w:p>
    <w:p w14:paraId="133FD26F" w14:textId="77777777" w:rsidR="00EA2E64" w:rsidRDefault="00EA2E64">
      <w:pPr>
        <w:pStyle w:val="a3"/>
      </w:pPr>
    </w:p>
    <w:p w14:paraId="127899A9" w14:textId="77777777" w:rsidR="00EA2E64" w:rsidRDefault="00EA2E64">
      <w:pPr>
        <w:pStyle w:val="a3"/>
      </w:pPr>
    </w:p>
    <w:p w14:paraId="37AB97C0" w14:textId="77777777" w:rsidR="00EA2E64" w:rsidRDefault="00EA2E64">
      <w:pPr>
        <w:pStyle w:val="a3"/>
        <w:spacing w:before="237"/>
      </w:pPr>
    </w:p>
    <w:p w14:paraId="4CE972CC" w14:textId="77777777" w:rsidR="00EA2E64" w:rsidRDefault="00D66490">
      <w:pPr>
        <w:ind w:right="180"/>
        <w:jc w:val="right"/>
        <w:rPr>
          <w:b/>
        </w:rPr>
      </w:pPr>
      <w:r>
        <w:rPr>
          <w:b/>
        </w:rPr>
        <w:t>Совет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директоров</w:t>
      </w:r>
    </w:p>
    <w:p w14:paraId="32E5D1FA" w14:textId="1146E2C3" w:rsidR="00EA2E64" w:rsidRDefault="00D66490">
      <w:pPr>
        <w:spacing w:before="1"/>
        <w:ind w:right="171"/>
        <w:jc w:val="right"/>
        <w:rPr>
          <w:b/>
        </w:rPr>
      </w:pPr>
      <w:r>
        <w:rPr>
          <w:b/>
        </w:rPr>
        <w:t xml:space="preserve">AO </w:t>
      </w:r>
      <w:r>
        <w:rPr>
          <w:b/>
          <w:spacing w:val="-2"/>
        </w:rPr>
        <w:t>«</w:t>
      </w:r>
      <w:r w:rsidR="00D34A10">
        <w:rPr>
          <w:b/>
          <w:spacing w:val="-2"/>
        </w:rPr>
        <w:t>Новосибирскэнергосбыт</w:t>
      </w:r>
      <w:r>
        <w:rPr>
          <w:b/>
          <w:spacing w:val="-2"/>
        </w:rPr>
        <w:t>»</w:t>
      </w:r>
    </w:p>
    <w:p w14:paraId="35B543CE" w14:textId="77777777" w:rsidR="00EA2E64" w:rsidRDefault="00EA2E64">
      <w:pPr>
        <w:pStyle w:val="a3"/>
        <w:spacing w:before="183"/>
        <w:rPr>
          <w:b/>
          <w:sz w:val="20"/>
        </w:rPr>
      </w:pPr>
    </w:p>
    <w:sectPr w:rsidR="00EA2E64" w:rsidSect="00EA2E64">
      <w:pgSz w:w="11900" w:h="16840"/>
      <w:pgMar w:top="6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7678F"/>
    <w:multiLevelType w:val="hybridMultilevel"/>
    <w:tmpl w:val="382EA0C2"/>
    <w:lvl w:ilvl="0" w:tplc="BA38AEB0">
      <w:start w:val="1"/>
      <w:numFmt w:val="decimal"/>
      <w:lvlText w:val="%1)"/>
      <w:lvlJc w:val="left"/>
      <w:pPr>
        <w:ind w:left="60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24CACCBC">
      <w:numFmt w:val="bullet"/>
      <w:lvlText w:val="•"/>
      <w:lvlJc w:val="left"/>
      <w:pPr>
        <w:ind w:left="1531" w:hanging="247"/>
      </w:pPr>
      <w:rPr>
        <w:rFonts w:hint="default"/>
        <w:lang w:val="ru-RU" w:eastAsia="en-US" w:bidi="ar-SA"/>
      </w:rPr>
    </w:lvl>
    <w:lvl w:ilvl="2" w:tplc="BC023C0A">
      <w:numFmt w:val="bullet"/>
      <w:lvlText w:val="•"/>
      <w:lvlJc w:val="left"/>
      <w:pPr>
        <w:ind w:left="2463" w:hanging="247"/>
      </w:pPr>
      <w:rPr>
        <w:rFonts w:hint="default"/>
        <w:lang w:val="ru-RU" w:eastAsia="en-US" w:bidi="ar-SA"/>
      </w:rPr>
    </w:lvl>
    <w:lvl w:ilvl="3" w:tplc="AE604F18">
      <w:numFmt w:val="bullet"/>
      <w:lvlText w:val="•"/>
      <w:lvlJc w:val="left"/>
      <w:pPr>
        <w:ind w:left="3395" w:hanging="247"/>
      </w:pPr>
      <w:rPr>
        <w:rFonts w:hint="default"/>
        <w:lang w:val="ru-RU" w:eastAsia="en-US" w:bidi="ar-SA"/>
      </w:rPr>
    </w:lvl>
    <w:lvl w:ilvl="4" w:tplc="BCC68946">
      <w:numFmt w:val="bullet"/>
      <w:lvlText w:val="•"/>
      <w:lvlJc w:val="left"/>
      <w:pPr>
        <w:ind w:left="4326" w:hanging="247"/>
      </w:pPr>
      <w:rPr>
        <w:rFonts w:hint="default"/>
        <w:lang w:val="ru-RU" w:eastAsia="en-US" w:bidi="ar-SA"/>
      </w:rPr>
    </w:lvl>
    <w:lvl w:ilvl="5" w:tplc="DE24C1E2">
      <w:numFmt w:val="bullet"/>
      <w:lvlText w:val="•"/>
      <w:lvlJc w:val="left"/>
      <w:pPr>
        <w:ind w:left="5258" w:hanging="247"/>
      </w:pPr>
      <w:rPr>
        <w:rFonts w:hint="default"/>
        <w:lang w:val="ru-RU" w:eastAsia="en-US" w:bidi="ar-SA"/>
      </w:rPr>
    </w:lvl>
    <w:lvl w:ilvl="6" w:tplc="94BC8C38">
      <w:numFmt w:val="bullet"/>
      <w:lvlText w:val="•"/>
      <w:lvlJc w:val="left"/>
      <w:pPr>
        <w:ind w:left="6190" w:hanging="247"/>
      </w:pPr>
      <w:rPr>
        <w:rFonts w:hint="default"/>
        <w:lang w:val="ru-RU" w:eastAsia="en-US" w:bidi="ar-SA"/>
      </w:rPr>
    </w:lvl>
    <w:lvl w:ilvl="7" w:tplc="A7B2C5FE">
      <w:numFmt w:val="bullet"/>
      <w:lvlText w:val="•"/>
      <w:lvlJc w:val="left"/>
      <w:pPr>
        <w:ind w:left="7121" w:hanging="247"/>
      </w:pPr>
      <w:rPr>
        <w:rFonts w:hint="default"/>
        <w:lang w:val="ru-RU" w:eastAsia="en-US" w:bidi="ar-SA"/>
      </w:rPr>
    </w:lvl>
    <w:lvl w:ilvl="8" w:tplc="1E38C5EE">
      <w:numFmt w:val="bullet"/>
      <w:lvlText w:val="•"/>
      <w:lvlJc w:val="left"/>
      <w:pPr>
        <w:ind w:left="8053" w:hanging="2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64"/>
    <w:rsid w:val="00096288"/>
    <w:rsid w:val="0018235B"/>
    <w:rsid w:val="00546DB8"/>
    <w:rsid w:val="009D381C"/>
    <w:rsid w:val="00B963DE"/>
    <w:rsid w:val="00C4000B"/>
    <w:rsid w:val="00D34A10"/>
    <w:rsid w:val="00D66490"/>
    <w:rsid w:val="00EA2E64"/>
    <w:rsid w:val="00F1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A699"/>
  <w15:docId w15:val="{C07A1368-AC1B-4B07-8DAA-27049E72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2E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E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2E64"/>
  </w:style>
  <w:style w:type="paragraph" w:styleId="a4">
    <w:name w:val="List Paragraph"/>
    <w:basedOn w:val="a"/>
    <w:uiPriority w:val="1"/>
    <w:qFormat/>
    <w:rsid w:val="00EA2E64"/>
    <w:pPr>
      <w:ind w:left="37" w:right="271"/>
    </w:pPr>
  </w:style>
  <w:style w:type="paragraph" w:customStyle="1" w:styleId="TableParagraph">
    <w:name w:val="Table Paragraph"/>
    <w:basedOn w:val="a"/>
    <w:uiPriority w:val="1"/>
    <w:qFormat/>
    <w:rsid w:val="00EA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СД.PDF</vt:lpstr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СД.PDF</dc:title>
  <dc:creator>tar_na</dc:creator>
  <cp:lastModifiedBy>Плахотич Лариса Сергеевна</cp:lastModifiedBy>
  <cp:revision>5</cp:revision>
  <dcterms:created xsi:type="dcterms:W3CDTF">2026-04-10T06:11:00Z</dcterms:created>
  <dcterms:modified xsi:type="dcterms:W3CDTF">2026-04-22T05:03:00Z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2026-04-08T00:00:00Z</vt:filetime>
  </property>
  <property fmtid="{D5CDD505-2E9C-101B-9397-08002B2CF9AE}" pid="5" name="Producer">
    <vt:lpwstr>3-Heights(TM) PDF Security Shell 4.8.25.2 (http://www.pdf-tools.com)</vt:lpwstr>
  </property>
</Properties>
</file>