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801AF" w14:textId="0AD9931C" w:rsidR="00BD2B73" w:rsidRPr="00C03768" w:rsidRDefault="00BD2B73" w:rsidP="00C03768">
      <w:pPr>
        <w:pStyle w:val="a3"/>
        <w:spacing w:before="0" w:beforeAutospacing="0" w:after="120" w:afterAutospacing="0"/>
        <w:ind w:firstLine="567"/>
        <w:jc w:val="both"/>
        <w:rPr>
          <w:rStyle w:val="a4"/>
          <w:sz w:val="28"/>
          <w:szCs w:val="28"/>
        </w:rPr>
      </w:pPr>
      <w:bookmarkStart w:id="0" w:name="_GoBack"/>
      <w:bookmarkEnd w:id="0"/>
      <w:r w:rsidRPr="00C03768">
        <w:rPr>
          <w:rStyle w:val="a4"/>
          <w:sz w:val="28"/>
          <w:szCs w:val="28"/>
        </w:rPr>
        <w:t xml:space="preserve">Информация о деятельности в качестве </w:t>
      </w:r>
      <w:proofErr w:type="spellStart"/>
      <w:r w:rsidRPr="00C03768">
        <w:rPr>
          <w:rStyle w:val="a4"/>
          <w:sz w:val="28"/>
          <w:szCs w:val="28"/>
        </w:rPr>
        <w:t>э</w:t>
      </w:r>
      <w:r w:rsidR="007800AA">
        <w:rPr>
          <w:rStyle w:val="a4"/>
          <w:sz w:val="28"/>
          <w:szCs w:val="28"/>
        </w:rPr>
        <w:t>нергосбытовой</w:t>
      </w:r>
      <w:proofErr w:type="spellEnd"/>
      <w:r w:rsidR="007800AA">
        <w:rPr>
          <w:rStyle w:val="a4"/>
          <w:sz w:val="28"/>
          <w:szCs w:val="28"/>
        </w:rPr>
        <w:t xml:space="preserve"> организации в 2024</w:t>
      </w:r>
      <w:r w:rsidRPr="00C03768">
        <w:rPr>
          <w:rStyle w:val="a4"/>
          <w:sz w:val="28"/>
          <w:szCs w:val="28"/>
        </w:rPr>
        <w:t xml:space="preserve"> г.:</w:t>
      </w:r>
    </w:p>
    <w:p w14:paraId="42753AC4" w14:textId="77777777" w:rsidR="00BD2B73" w:rsidRPr="00C03768" w:rsidRDefault="00BD2B73" w:rsidP="00BD2B73">
      <w:pPr>
        <w:pStyle w:val="a3"/>
        <w:spacing w:before="0" w:beforeAutospacing="0" w:after="0" w:afterAutospacing="0"/>
        <w:ind w:firstLine="601"/>
        <w:jc w:val="both"/>
        <w:rPr>
          <w:sz w:val="28"/>
          <w:szCs w:val="28"/>
        </w:rPr>
      </w:pPr>
      <w:r w:rsidRPr="00C03768">
        <w:rPr>
          <w:sz w:val="28"/>
          <w:szCs w:val="28"/>
        </w:rPr>
        <w:t>АО «Новосибирскэнергосбыт» осуществляет деятельность в качестве энергосбытовой организации за пределами своей зоны деятельности как гарантирующего поставщика в Новосибирской области:</w:t>
      </w:r>
    </w:p>
    <w:p w14:paraId="3EC8F48F" w14:textId="77777777" w:rsidR="00F60823" w:rsidRPr="00D9471B" w:rsidRDefault="00F60823" w:rsidP="00F60823">
      <w:pPr>
        <w:pStyle w:val="a3"/>
        <w:numPr>
          <w:ilvl w:val="0"/>
          <w:numId w:val="1"/>
        </w:numPr>
        <w:spacing w:before="0" w:beforeAutospacing="0" w:after="0" w:afterAutospacing="0"/>
        <w:jc w:val="both"/>
        <w:rPr>
          <w:sz w:val="28"/>
          <w:szCs w:val="28"/>
        </w:rPr>
      </w:pPr>
      <w:r w:rsidRPr="00D9471B">
        <w:rPr>
          <w:sz w:val="28"/>
          <w:szCs w:val="28"/>
        </w:rPr>
        <w:t>в Кемеровской области – Кузбассе;</w:t>
      </w:r>
    </w:p>
    <w:p w14:paraId="3E5AEFAF" w14:textId="77777777" w:rsidR="00F60823" w:rsidRPr="00D9471B" w:rsidRDefault="00F60823" w:rsidP="00F60823">
      <w:pPr>
        <w:pStyle w:val="a3"/>
        <w:numPr>
          <w:ilvl w:val="0"/>
          <w:numId w:val="1"/>
        </w:numPr>
        <w:spacing w:before="0" w:beforeAutospacing="0" w:after="0" w:afterAutospacing="0"/>
        <w:jc w:val="both"/>
        <w:rPr>
          <w:sz w:val="28"/>
          <w:szCs w:val="28"/>
        </w:rPr>
      </w:pPr>
      <w:r w:rsidRPr="00D9471B">
        <w:rPr>
          <w:sz w:val="28"/>
          <w:szCs w:val="28"/>
        </w:rPr>
        <w:t>в Республике Хакасия;</w:t>
      </w:r>
    </w:p>
    <w:p w14:paraId="2F4F52CB" w14:textId="25CFA5B1" w:rsidR="00F60823" w:rsidRPr="00D9471B" w:rsidRDefault="00F60823" w:rsidP="00D9471B">
      <w:pPr>
        <w:pStyle w:val="a3"/>
        <w:numPr>
          <w:ilvl w:val="0"/>
          <w:numId w:val="1"/>
        </w:numPr>
        <w:spacing w:before="0" w:beforeAutospacing="0" w:after="0" w:afterAutospacing="0"/>
        <w:jc w:val="both"/>
        <w:rPr>
          <w:sz w:val="28"/>
          <w:szCs w:val="28"/>
        </w:rPr>
      </w:pPr>
      <w:r w:rsidRPr="00D9471B">
        <w:rPr>
          <w:sz w:val="28"/>
          <w:szCs w:val="28"/>
        </w:rPr>
        <w:t>в Тюменской области;</w:t>
      </w:r>
    </w:p>
    <w:p w14:paraId="1127F118" w14:textId="77777777" w:rsidR="00F60823" w:rsidRPr="00D9471B" w:rsidRDefault="00F60823" w:rsidP="00F60823">
      <w:pPr>
        <w:pStyle w:val="a3"/>
        <w:numPr>
          <w:ilvl w:val="0"/>
          <w:numId w:val="1"/>
        </w:numPr>
        <w:spacing w:before="0" w:beforeAutospacing="0" w:after="0" w:afterAutospacing="0"/>
        <w:jc w:val="both"/>
        <w:rPr>
          <w:sz w:val="28"/>
          <w:szCs w:val="28"/>
        </w:rPr>
      </w:pPr>
      <w:r w:rsidRPr="00D9471B">
        <w:rPr>
          <w:sz w:val="28"/>
          <w:szCs w:val="28"/>
        </w:rPr>
        <w:t>в Нижегородской области;</w:t>
      </w:r>
    </w:p>
    <w:p w14:paraId="1EC22E26" w14:textId="3947D7E1" w:rsidR="00F60823" w:rsidRPr="00D9471B" w:rsidRDefault="00F60823" w:rsidP="00D9471B">
      <w:pPr>
        <w:pStyle w:val="a3"/>
        <w:numPr>
          <w:ilvl w:val="0"/>
          <w:numId w:val="1"/>
        </w:numPr>
        <w:spacing w:before="0" w:beforeAutospacing="0" w:after="0" w:afterAutospacing="0"/>
        <w:jc w:val="both"/>
        <w:rPr>
          <w:sz w:val="28"/>
          <w:szCs w:val="28"/>
        </w:rPr>
      </w:pPr>
      <w:r w:rsidRPr="00D9471B">
        <w:rPr>
          <w:sz w:val="28"/>
          <w:szCs w:val="28"/>
        </w:rPr>
        <w:t>в г. Санкт-Петербург;</w:t>
      </w:r>
    </w:p>
    <w:p w14:paraId="2733C738" w14:textId="176EEB6E" w:rsidR="00BD2B73" w:rsidRPr="00D9471B" w:rsidRDefault="00F60823" w:rsidP="00F60823">
      <w:pPr>
        <w:pStyle w:val="a3"/>
        <w:numPr>
          <w:ilvl w:val="0"/>
          <w:numId w:val="1"/>
        </w:numPr>
        <w:spacing w:before="0" w:beforeAutospacing="0" w:after="0" w:afterAutospacing="0"/>
        <w:jc w:val="both"/>
        <w:rPr>
          <w:sz w:val="28"/>
          <w:szCs w:val="28"/>
        </w:rPr>
      </w:pPr>
      <w:r w:rsidRPr="00D9471B">
        <w:rPr>
          <w:sz w:val="28"/>
          <w:szCs w:val="28"/>
        </w:rPr>
        <w:t>в Тульской области.</w:t>
      </w:r>
    </w:p>
    <w:p w14:paraId="086E710F" w14:textId="77777777" w:rsidR="00BD2B73" w:rsidRDefault="00BD2B73" w:rsidP="00D9471B">
      <w:pPr>
        <w:spacing w:after="120"/>
        <w:jc w:val="both"/>
        <w:rPr>
          <w:rFonts w:ascii="Times New Roman" w:hAnsi="Times New Roman"/>
          <w:bCs/>
          <w:sz w:val="24"/>
          <w:szCs w:val="24"/>
        </w:rPr>
      </w:pP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371"/>
        <w:gridCol w:w="2092"/>
        <w:gridCol w:w="11210"/>
      </w:tblGrid>
      <w:tr w:rsidR="00C03768" w:rsidRPr="00C03768" w14:paraId="27FFCF1A" w14:textId="77777777" w:rsidTr="00C03768">
        <w:trPr>
          <w:trHeight w:val="592"/>
        </w:trPr>
        <w:tc>
          <w:tcPr>
            <w:tcW w:w="1588" w:type="dxa"/>
            <w:vMerge w:val="restart"/>
            <w:shd w:val="clear" w:color="auto" w:fill="auto"/>
            <w:textDirection w:val="btLr"/>
          </w:tcPr>
          <w:p w14:paraId="7FE8C5CE" w14:textId="77777777" w:rsidR="00C03768" w:rsidRPr="00C03768" w:rsidRDefault="00C03768" w:rsidP="00C03768">
            <w:pPr>
              <w:ind w:left="57" w:right="57"/>
              <w:jc w:val="center"/>
              <w:rPr>
                <w:rFonts w:cs="Calibri"/>
                <w:b/>
                <w:sz w:val="20"/>
                <w:szCs w:val="20"/>
              </w:rPr>
            </w:pPr>
            <w:r w:rsidRPr="00C03768">
              <w:rPr>
                <w:rFonts w:cs="Calibri"/>
                <w:b/>
                <w:sz w:val="20"/>
                <w:szCs w:val="20"/>
              </w:rPr>
              <w:t>Основные условия договоров купли-продажи электрической энергии (энергоснабжения)</w:t>
            </w:r>
          </w:p>
          <w:p w14:paraId="1FF9725D" w14:textId="77777777" w:rsidR="00C03768" w:rsidRPr="00C03768" w:rsidRDefault="00C03768" w:rsidP="00C03768">
            <w:pPr>
              <w:ind w:left="57" w:right="57"/>
              <w:jc w:val="center"/>
              <w:rPr>
                <w:rFonts w:cs="Calibri"/>
                <w:b/>
                <w:color w:val="0070C0"/>
                <w:sz w:val="20"/>
                <w:szCs w:val="20"/>
              </w:rPr>
            </w:pPr>
            <w:r w:rsidRPr="00C03768">
              <w:rPr>
                <w:rFonts w:cs="Calibri"/>
                <w:b/>
                <w:sz w:val="20"/>
                <w:szCs w:val="20"/>
              </w:rPr>
              <w:t>АО «Новосибирскэнергосбыт»</w:t>
            </w:r>
            <w:r w:rsidRPr="00C03768">
              <w:rPr>
                <w:rFonts w:cs="Calibri"/>
                <w:b/>
                <w:color w:val="0070C0"/>
                <w:sz w:val="20"/>
                <w:szCs w:val="20"/>
              </w:rPr>
              <w:t xml:space="preserve"> для покупателей вне зоны деятельности</w:t>
            </w:r>
          </w:p>
          <w:p w14:paraId="3FA51D72" w14:textId="77777777" w:rsidR="00C03768" w:rsidRPr="00C03768" w:rsidRDefault="00C03768" w:rsidP="00C03768">
            <w:pPr>
              <w:ind w:left="57" w:right="57"/>
              <w:jc w:val="center"/>
              <w:rPr>
                <w:rFonts w:cs="Calibri"/>
                <w:b/>
                <w:color w:val="0070C0"/>
                <w:sz w:val="20"/>
                <w:szCs w:val="20"/>
              </w:rPr>
            </w:pPr>
            <w:r w:rsidRPr="00C03768">
              <w:rPr>
                <w:rFonts w:cs="Calibri"/>
                <w:b/>
                <w:color w:val="0070C0"/>
                <w:sz w:val="20"/>
                <w:szCs w:val="20"/>
              </w:rPr>
              <w:t>АО «Новосибирскэнергосбыт» как гарантирующего поставщика</w:t>
            </w:r>
          </w:p>
        </w:tc>
        <w:tc>
          <w:tcPr>
            <w:tcW w:w="284" w:type="dxa"/>
            <w:shd w:val="clear" w:color="auto" w:fill="DAEEF3"/>
            <w:vAlign w:val="center"/>
          </w:tcPr>
          <w:p w14:paraId="3C677914" w14:textId="77777777" w:rsidR="00C03768" w:rsidRPr="00C03768" w:rsidRDefault="00C03768" w:rsidP="00C03768">
            <w:pPr>
              <w:tabs>
                <w:tab w:val="left" w:pos="318"/>
              </w:tabs>
              <w:rPr>
                <w:rFonts w:cs="Calibri"/>
                <w:b/>
                <w:sz w:val="20"/>
                <w:szCs w:val="20"/>
              </w:rPr>
            </w:pPr>
            <w:r w:rsidRPr="00C03768">
              <w:rPr>
                <w:rFonts w:cs="Calibri"/>
                <w:b/>
                <w:sz w:val="20"/>
                <w:szCs w:val="20"/>
              </w:rPr>
              <w:t>1.</w:t>
            </w:r>
          </w:p>
        </w:tc>
        <w:tc>
          <w:tcPr>
            <w:tcW w:w="2097" w:type="dxa"/>
            <w:shd w:val="clear" w:color="auto" w:fill="DAEEF3"/>
            <w:vAlign w:val="center"/>
          </w:tcPr>
          <w:p w14:paraId="689CC5DC" w14:textId="77777777" w:rsidR="00C03768" w:rsidRPr="00C03768" w:rsidRDefault="00C03768" w:rsidP="00C03768">
            <w:pPr>
              <w:tabs>
                <w:tab w:val="left" w:pos="318"/>
              </w:tabs>
              <w:ind w:left="175"/>
              <w:contextualSpacing/>
              <w:rPr>
                <w:rFonts w:cs="Calibri"/>
                <w:b/>
                <w:sz w:val="20"/>
                <w:szCs w:val="20"/>
              </w:rPr>
            </w:pPr>
            <w:r w:rsidRPr="00C03768">
              <w:rPr>
                <w:rFonts w:cs="Calibri"/>
                <w:sz w:val="20"/>
                <w:szCs w:val="20"/>
              </w:rPr>
              <w:t xml:space="preserve">Срок действия договора </w:t>
            </w:r>
          </w:p>
        </w:tc>
        <w:tc>
          <w:tcPr>
            <w:tcW w:w="11369" w:type="dxa"/>
            <w:shd w:val="clear" w:color="auto" w:fill="DAEEF3"/>
            <w:vAlign w:val="center"/>
          </w:tcPr>
          <w:p w14:paraId="615F81B4" w14:textId="77777777" w:rsidR="00C03768" w:rsidRPr="00C03768" w:rsidRDefault="00C03768" w:rsidP="00C03768">
            <w:pPr>
              <w:tabs>
                <w:tab w:val="left" w:pos="318"/>
              </w:tabs>
              <w:jc w:val="both"/>
              <w:rPr>
                <w:rFonts w:cs="Calibri"/>
                <w:b/>
                <w:sz w:val="20"/>
                <w:szCs w:val="20"/>
              </w:rPr>
            </w:pPr>
            <w:r w:rsidRPr="00C03768">
              <w:rPr>
                <w:rFonts w:cs="Calibri"/>
                <w:sz w:val="20"/>
                <w:szCs w:val="20"/>
              </w:rPr>
              <w:t>Договор вступает в силу с определенной в нем даты и действует до определенной в нем даты. Если за 30 дней до момента истечения срока действия договора ни одна из сторон не заявит о его расторжении, договор автоматически продлевается на каждый последующий календарный год.</w:t>
            </w:r>
          </w:p>
        </w:tc>
      </w:tr>
      <w:tr w:rsidR="00C03768" w:rsidRPr="00C03768" w14:paraId="722B1D14" w14:textId="77777777" w:rsidTr="00C03768">
        <w:trPr>
          <w:trHeight w:val="240"/>
        </w:trPr>
        <w:tc>
          <w:tcPr>
            <w:tcW w:w="1588" w:type="dxa"/>
            <w:vMerge/>
            <w:shd w:val="clear" w:color="auto" w:fill="auto"/>
          </w:tcPr>
          <w:p w14:paraId="1BB8E3D3" w14:textId="77777777" w:rsidR="00C03768" w:rsidRPr="00C03768" w:rsidRDefault="00C03768" w:rsidP="00C03768">
            <w:pPr>
              <w:numPr>
                <w:ilvl w:val="0"/>
                <w:numId w:val="2"/>
              </w:numPr>
              <w:tabs>
                <w:tab w:val="left" w:pos="0"/>
              </w:tabs>
              <w:spacing w:after="0" w:line="240" w:lineRule="auto"/>
              <w:ind w:left="318"/>
              <w:contextualSpacing/>
              <w:rPr>
                <w:rFonts w:cs="Calibri"/>
                <w:sz w:val="20"/>
                <w:szCs w:val="20"/>
              </w:rPr>
            </w:pPr>
          </w:p>
        </w:tc>
        <w:tc>
          <w:tcPr>
            <w:tcW w:w="284" w:type="dxa"/>
            <w:shd w:val="clear" w:color="auto" w:fill="DAEEF3"/>
            <w:vAlign w:val="center"/>
          </w:tcPr>
          <w:p w14:paraId="1F08E527" w14:textId="77777777" w:rsidR="00C03768" w:rsidRPr="00C03768" w:rsidRDefault="00C03768" w:rsidP="00C03768">
            <w:pPr>
              <w:tabs>
                <w:tab w:val="left" w:pos="318"/>
              </w:tabs>
              <w:rPr>
                <w:rFonts w:cs="Calibri"/>
                <w:b/>
                <w:sz w:val="20"/>
                <w:szCs w:val="20"/>
              </w:rPr>
            </w:pPr>
            <w:r w:rsidRPr="00C03768">
              <w:rPr>
                <w:rFonts w:cs="Calibri"/>
                <w:b/>
                <w:sz w:val="20"/>
                <w:szCs w:val="20"/>
              </w:rPr>
              <w:t>2.</w:t>
            </w:r>
          </w:p>
        </w:tc>
        <w:tc>
          <w:tcPr>
            <w:tcW w:w="2097" w:type="dxa"/>
            <w:shd w:val="clear" w:color="auto" w:fill="DAEEF3"/>
            <w:vAlign w:val="center"/>
          </w:tcPr>
          <w:p w14:paraId="334BD84B" w14:textId="77777777" w:rsidR="00C03768" w:rsidRPr="00C03768" w:rsidRDefault="00C03768" w:rsidP="00C03768">
            <w:pPr>
              <w:tabs>
                <w:tab w:val="left" w:pos="0"/>
                <w:tab w:val="left" w:pos="357"/>
                <w:tab w:val="left" w:pos="507"/>
              </w:tabs>
              <w:ind w:left="175"/>
              <w:contextualSpacing/>
              <w:rPr>
                <w:rFonts w:cs="Calibri"/>
                <w:sz w:val="20"/>
                <w:szCs w:val="20"/>
              </w:rPr>
            </w:pPr>
            <w:r w:rsidRPr="00C03768">
              <w:rPr>
                <w:rFonts w:cs="Calibri"/>
                <w:sz w:val="20"/>
                <w:szCs w:val="20"/>
              </w:rPr>
              <w:t>Вид цены на электрическую энергию (фиксированная или переменная)</w:t>
            </w:r>
          </w:p>
        </w:tc>
        <w:tc>
          <w:tcPr>
            <w:tcW w:w="11369" w:type="dxa"/>
            <w:shd w:val="clear" w:color="auto" w:fill="DAEEF3"/>
            <w:vAlign w:val="center"/>
          </w:tcPr>
          <w:p w14:paraId="7FB587E3" w14:textId="77777777" w:rsidR="00C03768" w:rsidRPr="00C03768" w:rsidRDefault="00C03768" w:rsidP="00C03768">
            <w:pPr>
              <w:jc w:val="both"/>
              <w:rPr>
                <w:rFonts w:cs="Calibri"/>
                <w:spacing w:val="-4"/>
                <w:sz w:val="20"/>
                <w:szCs w:val="20"/>
              </w:rPr>
            </w:pPr>
            <w:r w:rsidRPr="00C03768">
              <w:rPr>
                <w:rFonts w:cs="Calibri"/>
                <w:sz w:val="20"/>
                <w:szCs w:val="20"/>
              </w:rPr>
              <w:t>Поставка электрической энергии (мощности) осуществляется по переменной цене, которая определяется соглашением сторон.</w:t>
            </w:r>
          </w:p>
        </w:tc>
      </w:tr>
      <w:tr w:rsidR="00C03768" w:rsidRPr="00C03768" w14:paraId="5E4A3B65" w14:textId="77777777" w:rsidTr="00C03768">
        <w:trPr>
          <w:trHeight w:val="543"/>
        </w:trPr>
        <w:tc>
          <w:tcPr>
            <w:tcW w:w="1588" w:type="dxa"/>
            <w:vMerge/>
            <w:shd w:val="clear" w:color="auto" w:fill="auto"/>
          </w:tcPr>
          <w:p w14:paraId="7B076DCA" w14:textId="77777777" w:rsidR="00C03768" w:rsidRPr="00C03768" w:rsidRDefault="00C03768" w:rsidP="00C03768">
            <w:pPr>
              <w:numPr>
                <w:ilvl w:val="0"/>
                <w:numId w:val="2"/>
              </w:numPr>
              <w:tabs>
                <w:tab w:val="left" w:pos="318"/>
              </w:tabs>
              <w:spacing w:after="0" w:line="240" w:lineRule="auto"/>
              <w:ind w:left="34"/>
              <w:contextualSpacing/>
              <w:rPr>
                <w:rFonts w:cs="Calibri"/>
                <w:sz w:val="20"/>
                <w:szCs w:val="20"/>
              </w:rPr>
            </w:pPr>
          </w:p>
        </w:tc>
        <w:tc>
          <w:tcPr>
            <w:tcW w:w="284" w:type="dxa"/>
            <w:shd w:val="clear" w:color="auto" w:fill="DAEEF3"/>
            <w:vAlign w:val="center"/>
          </w:tcPr>
          <w:p w14:paraId="670BE361" w14:textId="77777777" w:rsidR="00C03768" w:rsidRPr="00C03768" w:rsidRDefault="00C03768" w:rsidP="00C03768">
            <w:pPr>
              <w:tabs>
                <w:tab w:val="left" w:pos="171"/>
                <w:tab w:val="left" w:pos="318"/>
              </w:tabs>
              <w:rPr>
                <w:rFonts w:cs="Calibri"/>
                <w:b/>
                <w:sz w:val="20"/>
                <w:szCs w:val="20"/>
              </w:rPr>
            </w:pPr>
            <w:r w:rsidRPr="00C03768">
              <w:rPr>
                <w:rFonts w:cs="Calibri"/>
                <w:b/>
                <w:sz w:val="20"/>
                <w:szCs w:val="20"/>
              </w:rPr>
              <w:t>3.</w:t>
            </w:r>
          </w:p>
        </w:tc>
        <w:tc>
          <w:tcPr>
            <w:tcW w:w="2097" w:type="dxa"/>
            <w:shd w:val="clear" w:color="auto" w:fill="DAEEF3"/>
            <w:vAlign w:val="center"/>
          </w:tcPr>
          <w:p w14:paraId="4E1EE9F6" w14:textId="77777777" w:rsidR="00C03768" w:rsidRPr="00C03768" w:rsidRDefault="00C03768" w:rsidP="00C03768">
            <w:pPr>
              <w:tabs>
                <w:tab w:val="left" w:pos="318"/>
              </w:tabs>
              <w:ind w:left="175"/>
              <w:contextualSpacing/>
              <w:rPr>
                <w:rFonts w:cs="Calibri"/>
                <w:sz w:val="20"/>
                <w:szCs w:val="20"/>
              </w:rPr>
            </w:pPr>
            <w:r w:rsidRPr="00C03768">
              <w:rPr>
                <w:rFonts w:cs="Calibri"/>
                <w:sz w:val="20"/>
                <w:szCs w:val="20"/>
              </w:rPr>
              <w:t>Форма оплаты</w:t>
            </w:r>
          </w:p>
        </w:tc>
        <w:tc>
          <w:tcPr>
            <w:tcW w:w="11369" w:type="dxa"/>
            <w:shd w:val="clear" w:color="auto" w:fill="DAEEF3"/>
            <w:vAlign w:val="center"/>
          </w:tcPr>
          <w:p w14:paraId="13026786" w14:textId="77777777" w:rsidR="00C03768" w:rsidRPr="00C03768" w:rsidRDefault="00C03768" w:rsidP="00C03768">
            <w:pPr>
              <w:tabs>
                <w:tab w:val="left" w:pos="318"/>
              </w:tabs>
              <w:jc w:val="both"/>
              <w:rPr>
                <w:rFonts w:cs="Calibri"/>
                <w:sz w:val="20"/>
                <w:szCs w:val="20"/>
              </w:rPr>
            </w:pPr>
            <w:r w:rsidRPr="00C03768">
              <w:rPr>
                <w:rFonts w:cs="Calibri"/>
                <w:sz w:val="20"/>
                <w:szCs w:val="20"/>
              </w:rPr>
              <w:t>Оплата осуществляется посредством перечисления денежных средств на расчетный счет АО «Новосибирскэнергосбыт».</w:t>
            </w:r>
          </w:p>
        </w:tc>
      </w:tr>
      <w:tr w:rsidR="00C03768" w:rsidRPr="00C03768" w14:paraId="3F24A5A2" w14:textId="77777777" w:rsidTr="00C03768">
        <w:trPr>
          <w:trHeight w:val="227"/>
        </w:trPr>
        <w:tc>
          <w:tcPr>
            <w:tcW w:w="1588" w:type="dxa"/>
            <w:vMerge/>
            <w:shd w:val="clear" w:color="auto" w:fill="auto"/>
          </w:tcPr>
          <w:p w14:paraId="60D588FA" w14:textId="77777777" w:rsidR="00C03768" w:rsidRPr="00C03768" w:rsidRDefault="00C03768" w:rsidP="00C03768">
            <w:pPr>
              <w:numPr>
                <w:ilvl w:val="0"/>
                <w:numId w:val="2"/>
              </w:numPr>
              <w:tabs>
                <w:tab w:val="left" w:pos="318"/>
              </w:tabs>
              <w:spacing w:after="0" w:line="240" w:lineRule="auto"/>
              <w:ind w:left="34"/>
              <w:contextualSpacing/>
              <w:rPr>
                <w:rFonts w:cs="Calibri"/>
                <w:sz w:val="20"/>
                <w:szCs w:val="20"/>
              </w:rPr>
            </w:pPr>
          </w:p>
        </w:tc>
        <w:tc>
          <w:tcPr>
            <w:tcW w:w="284" w:type="dxa"/>
            <w:shd w:val="clear" w:color="auto" w:fill="DAEEF3"/>
            <w:vAlign w:val="center"/>
          </w:tcPr>
          <w:p w14:paraId="7AF4BF40" w14:textId="77777777" w:rsidR="00C03768" w:rsidRPr="00C03768" w:rsidRDefault="00C03768" w:rsidP="00C03768">
            <w:pPr>
              <w:tabs>
                <w:tab w:val="left" w:pos="171"/>
                <w:tab w:val="left" w:pos="318"/>
              </w:tabs>
              <w:rPr>
                <w:rFonts w:cs="Calibri"/>
                <w:b/>
                <w:sz w:val="20"/>
                <w:szCs w:val="20"/>
              </w:rPr>
            </w:pPr>
            <w:r w:rsidRPr="00C03768">
              <w:rPr>
                <w:rFonts w:cs="Calibri"/>
                <w:b/>
                <w:sz w:val="20"/>
                <w:szCs w:val="20"/>
              </w:rPr>
              <w:t>4.</w:t>
            </w:r>
          </w:p>
        </w:tc>
        <w:tc>
          <w:tcPr>
            <w:tcW w:w="2097" w:type="dxa"/>
            <w:shd w:val="clear" w:color="auto" w:fill="DAEEF3"/>
            <w:vAlign w:val="center"/>
          </w:tcPr>
          <w:p w14:paraId="1A59F1B0" w14:textId="77777777" w:rsidR="00C03768" w:rsidRPr="00C03768" w:rsidRDefault="00C03768" w:rsidP="00C03768">
            <w:pPr>
              <w:tabs>
                <w:tab w:val="left" w:pos="318"/>
              </w:tabs>
              <w:ind w:left="175"/>
              <w:contextualSpacing/>
              <w:rPr>
                <w:rFonts w:cs="Calibri"/>
                <w:sz w:val="20"/>
                <w:szCs w:val="20"/>
              </w:rPr>
            </w:pPr>
            <w:r w:rsidRPr="00C03768">
              <w:rPr>
                <w:rFonts w:cs="Calibri"/>
                <w:sz w:val="20"/>
                <w:szCs w:val="20"/>
              </w:rPr>
              <w:t>Форма обеспечения исполнения обязательств сторон по договору</w:t>
            </w:r>
          </w:p>
        </w:tc>
        <w:tc>
          <w:tcPr>
            <w:tcW w:w="11369" w:type="dxa"/>
            <w:shd w:val="clear" w:color="auto" w:fill="DAEEF3"/>
            <w:vAlign w:val="center"/>
          </w:tcPr>
          <w:p w14:paraId="0799B519" w14:textId="77777777" w:rsidR="00C03768" w:rsidRPr="00C03768" w:rsidRDefault="00C03768" w:rsidP="00C03768">
            <w:pPr>
              <w:tabs>
                <w:tab w:val="left" w:pos="540"/>
                <w:tab w:val="left" w:pos="11436"/>
              </w:tabs>
              <w:jc w:val="both"/>
              <w:rPr>
                <w:rFonts w:cs="Calibri"/>
                <w:sz w:val="20"/>
                <w:szCs w:val="20"/>
              </w:rPr>
            </w:pPr>
            <w:r w:rsidRPr="00C03768">
              <w:rPr>
                <w:rFonts w:cs="Calibri"/>
                <w:sz w:val="20"/>
                <w:szCs w:val="20"/>
              </w:rPr>
              <w:t>Положениями договора предусмотрены условия начисления неустойки за неисполнение покупателем обязательств по договору. Неустойка является способом, обеспечивающим исполнение обязательства, и несет именно обеспечительную функцию.</w:t>
            </w:r>
          </w:p>
          <w:p w14:paraId="2EC5307D" w14:textId="77777777" w:rsidR="00C03768" w:rsidRPr="00C03768" w:rsidRDefault="00C03768" w:rsidP="00C03768">
            <w:pPr>
              <w:tabs>
                <w:tab w:val="left" w:pos="540"/>
                <w:tab w:val="left" w:pos="11436"/>
              </w:tabs>
              <w:jc w:val="both"/>
              <w:rPr>
                <w:rFonts w:cs="Calibri"/>
                <w:sz w:val="20"/>
                <w:szCs w:val="20"/>
              </w:rPr>
            </w:pPr>
            <w:r w:rsidRPr="00C03768">
              <w:rPr>
                <w:rFonts w:cs="Calibri"/>
                <w:sz w:val="20"/>
                <w:szCs w:val="20"/>
              </w:rPr>
              <w:t>Договором предусмотрены неустойки:</w:t>
            </w:r>
          </w:p>
          <w:p w14:paraId="5DE1EBEC" w14:textId="77777777" w:rsidR="00C03768" w:rsidRPr="00C03768" w:rsidRDefault="00C03768" w:rsidP="00C03768">
            <w:pPr>
              <w:tabs>
                <w:tab w:val="left" w:pos="540"/>
                <w:tab w:val="left" w:pos="11436"/>
              </w:tabs>
              <w:jc w:val="both"/>
              <w:rPr>
                <w:rFonts w:cs="Calibri"/>
                <w:sz w:val="20"/>
                <w:szCs w:val="20"/>
              </w:rPr>
            </w:pPr>
            <w:r w:rsidRPr="00C03768">
              <w:rPr>
                <w:rFonts w:cs="Calibri"/>
                <w:sz w:val="20"/>
                <w:szCs w:val="20"/>
              </w:rPr>
              <w:t>- за неисполнение или ненадлежащее исполнение покупателем обязательств по оплате электрической энергии в установленные сроки.</w:t>
            </w:r>
          </w:p>
        </w:tc>
      </w:tr>
      <w:tr w:rsidR="00C03768" w:rsidRPr="00C03768" w14:paraId="1090AB13" w14:textId="77777777" w:rsidTr="00C03768">
        <w:trPr>
          <w:trHeight w:val="690"/>
        </w:trPr>
        <w:tc>
          <w:tcPr>
            <w:tcW w:w="1588" w:type="dxa"/>
            <w:vMerge/>
            <w:shd w:val="clear" w:color="auto" w:fill="auto"/>
          </w:tcPr>
          <w:p w14:paraId="7BF31D14" w14:textId="77777777" w:rsidR="00C03768" w:rsidRPr="00C03768" w:rsidRDefault="00C03768" w:rsidP="00C03768">
            <w:pPr>
              <w:numPr>
                <w:ilvl w:val="0"/>
                <w:numId w:val="2"/>
              </w:numPr>
              <w:tabs>
                <w:tab w:val="left" w:pos="318"/>
              </w:tabs>
              <w:spacing w:after="0" w:line="240" w:lineRule="auto"/>
              <w:ind w:left="34"/>
              <w:contextualSpacing/>
              <w:rPr>
                <w:rFonts w:cs="Calibri"/>
                <w:sz w:val="20"/>
                <w:szCs w:val="20"/>
              </w:rPr>
            </w:pPr>
          </w:p>
        </w:tc>
        <w:tc>
          <w:tcPr>
            <w:tcW w:w="284" w:type="dxa"/>
            <w:shd w:val="clear" w:color="auto" w:fill="DAEEF3"/>
            <w:vAlign w:val="center"/>
          </w:tcPr>
          <w:p w14:paraId="38AF7151" w14:textId="77777777" w:rsidR="00C03768" w:rsidRPr="00C03768" w:rsidRDefault="00C03768" w:rsidP="00C03768">
            <w:pPr>
              <w:tabs>
                <w:tab w:val="left" w:pos="171"/>
                <w:tab w:val="left" w:pos="318"/>
              </w:tabs>
              <w:rPr>
                <w:rFonts w:cs="Calibri"/>
                <w:b/>
                <w:sz w:val="20"/>
                <w:szCs w:val="20"/>
              </w:rPr>
            </w:pPr>
            <w:r w:rsidRPr="00C03768">
              <w:rPr>
                <w:rFonts w:cs="Calibri"/>
                <w:b/>
                <w:sz w:val="20"/>
                <w:szCs w:val="20"/>
              </w:rPr>
              <w:t>5.</w:t>
            </w:r>
          </w:p>
        </w:tc>
        <w:tc>
          <w:tcPr>
            <w:tcW w:w="2097" w:type="dxa"/>
            <w:shd w:val="clear" w:color="auto" w:fill="DAEEF3"/>
            <w:vAlign w:val="center"/>
          </w:tcPr>
          <w:p w14:paraId="3D9AFD61" w14:textId="77777777" w:rsidR="00C03768" w:rsidRPr="00C03768" w:rsidRDefault="00C03768" w:rsidP="00C03768">
            <w:pPr>
              <w:tabs>
                <w:tab w:val="left" w:pos="318"/>
              </w:tabs>
              <w:ind w:left="175"/>
              <w:contextualSpacing/>
              <w:rPr>
                <w:rFonts w:cs="Calibri"/>
                <w:sz w:val="20"/>
                <w:szCs w:val="20"/>
              </w:rPr>
            </w:pPr>
            <w:r w:rsidRPr="00C03768">
              <w:rPr>
                <w:rFonts w:cs="Calibri"/>
                <w:sz w:val="20"/>
                <w:szCs w:val="20"/>
              </w:rPr>
              <w:t>Зона обслуживания</w:t>
            </w:r>
          </w:p>
        </w:tc>
        <w:tc>
          <w:tcPr>
            <w:tcW w:w="11369" w:type="dxa"/>
            <w:shd w:val="clear" w:color="auto" w:fill="DAEEF3"/>
            <w:vAlign w:val="center"/>
          </w:tcPr>
          <w:p w14:paraId="7DF73A9E" w14:textId="77777777" w:rsidR="00C03768" w:rsidRPr="00C03768" w:rsidRDefault="00C03768" w:rsidP="00C03768">
            <w:pPr>
              <w:tabs>
                <w:tab w:val="left" w:pos="540"/>
              </w:tabs>
              <w:jc w:val="both"/>
              <w:rPr>
                <w:rFonts w:cs="Calibri"/>
                <w:sz w:val="20"/>
                <w:szCs w:val="20"/>
              </w:rPr>
            </w:pPr>
            <w:r w:rsidRPr="00C03768">
              <w:rPr>
                <w:rFonts w:cs="Calibri"/>
                <w:sz w:val="20"/>
                <w:szCs w:val="20"/>
              </w:rPr>
              <w:t xml:space="preserve">Территория Российской Федерации, за исключением зоны деятельности АО «Новосибирскэнергосбыт» как гарантирующего поставщика, границы которой определены в соответствии с действующим законодательством РФ органом исполнительной власти субъекта РФ в области государственного регулирования тарифов в пределах территории Новосибирской области.  </w:t>
            </w:r>
          </w:p>
        </w:tc>
      </w:tr>
      <w:tr w:rsidR="00C03768" w:rsidRPr="00C03768" w14:paraId="7C40F621" w14:textId="77777777" w:rsidTr="00C03768">
        <w:trPr>
          <w:trHeight w:val="225"/>
        </w:trPr>
        <w:tc>
          <w:tcPr>
            <w:tcW w:w="1588" w:type="dxa"/>
            <w:vMerge/>
            <w:shd w:val="clear" w:color="auto" w:fill="auto"/>
          </w:tcPr>
          <w:p w14:paraId="18FFAC21" w14:textId="77777777" w:rsidR="00C03768" w:rsidRPr="00C03768" w:rsidRDefault="00C03768" w:rsidP="00C03768">
            <w:pPr>
              <w:numPr>
                <w:ilvl w:val="0"/>
                <w:numId w:val="2"/>
              </w:numPr>
              <w:tabs>
                <w:tab w:val="left" w:pos="318"/>
              </w:tabs>
              <w:spacing w:after="0" w:line="240" w:lineRule="auto"/>
              <w:ind w:left="34"/>
              <w:contextualSpacing/>
              <w:rPr>
                <w:rFonts w:cs="Calibri"/>
                <w:sz w:val="20"/>
                <w:szCs w:val="20"/>
              </w:rPr>
            </w:pPr>
          </w:p>
        </w:tc>
        <w:tc>
          <w:tcPr>
            <w:tcW w:w="284" w:type="dxa"/>
            <w:shd w:val="clear" w:color="auto" w:fill="DAEEF3"/>
            <w:vAlign w:val="center"/>
          </w:tcPr>
          <w:p w14:paraId="237B389E" w14:textId="77777777" w:rsidR="00C03768" w:rsidRPr="00C03768" w:rsidRDefault="00C03768" w:rsidP="00C03768">
            <w:pPr>
              <w:tabs>
                <w:tab w:val="left" w:pos="171"/>
                <w:tab w:val="left" w:pos="318"/>
              </w:tabs>
              <w:rPr>
                <w:rFonts w:cs="Calibri"/>
                <w:b/>
                <w:sz w:val="20"/>
                <w:szCs w:val="20"/>
              </w:rPr>
            </w:pPr>
            <w:r w:rsidRPr="00C03768">
              <w:rPr>
                <w:rFonts w:cs="Calibri"/>
                <w:b/>
                <w:sz w:val="20"/>
                <w:szCs w:val="20"/>
              </w:rPr>
              <w:t>6.</w:t>
            </w:r>
          </w:p>
        </w:tc>
        <w:tc>
          <w:tcPr>
            <w:tcW w:w="2097" w:type="dxa"/>
            <w:shd w:val="clear" w:color="auto" w:fill="DAEEF3"/>
            <w:vAlign w:val="center"/>
          </w:tcPr>
          <w:p w14:paraId="4937DBF1" w14:textId="77777777" w:rsidR="00C03768" w:rsidRPr="00C03768" w:rsidRDefault="00C03768" w:rsidP="00C03768">
            <w:pPr>
              <w:tabs>
                <w:tab w:val="left" w:pos="318"/>
              </w:tabs>
              <w:ind w:left="175"/>
              <w:contextualSpacing/>
              <w:rPr>
                <w:rFonts w:cs="Calibri"/>
                <w:sz w:val="20"/>
                <w:szCs w:val="20"/>
              </w:rPr>
            </w:pPr>
            <w:r w:rsidRPr="00C03768">
              <w:rPr>
                <w:rFonts w:cs="Calibri"/>
                <w:sz w:val="20"/>
                <w:szCs w:val="20"/>
              </w:rPr>
              <w:t>Условия расторжения договора</w:t>
            </w:r>
          </w:p>
        </w:tc>
        <w:tc>
          <w:tcPr>
            <w:tcW w:w="11369" w:type="dxa"/>
            <w:shd w:val="clear" w:color="auto" w:fill="DAEEF3"/>
            <w:vAlign w:val="center"/>
          </w:tcPr>
          <w:p w14:paraId="7EFD7E85" w14:textId="77777777" w:rsidR="00C03768" w:rsidRPr="00C03768" w:rsidRDefault="00C03768" w:rsidP="00C03768">
            <w:pPr>
              <w:jc w:val="both"/>
              <w:rPr>
                <w:rFonts w:cs="Calibri"/>
                <w:sz w:val="20"/>
                <w:szCs w:val="20"/>
              </w:rPr>
            </w:pPr>
            <w:r w:rsidRPr="00C03768">
              <w:rPr>
                <w:rFonts w:cs="Calibri"/>
                <w:sz w:val="20"/>
                <w:szCs w:val="20"/>
              </w:rPr>
              <w:t>Расторжение договора возможно по соглашению сторон, а также в случаях предусмотренных Законодательством РФ</w:t>
            </w:r>
          </w:p>
          <w:p w14:paraId="5DEBA994" w14:textId="77777777" w:rsidR="00C03768" w:rsidRPr="00C03768" w:rsidRDefault="00C03768" w:rsidP="00C03768">
            <w:pPr>
              <w:jc w:val="both"/>
              <w:rPr>
                <w:rFonts w:cs="Calibri"/>
                <w:sz w:val="20"/>
                <w:szCs w:val="20"/>
              </w:rPr>
            </w:pPr>
            <w:r w:rsidRPr="00C03768">
              <w:rPr>
                <w:rFonts w:cs="Calibri"/>
                <w:sz w:val="20"/>
                <w:szCs w:val="20"/>
              </w:rPr>
              <w:t>Покупатель вправе в одностороннем порядке отказаться от исполнения договора полностью, что влечет его расторжение, путем направления АО «Новосибирскэнергосбыт» предварительного уведомления не менее чем за 25 рабочих дней до предполагаемой даты расторжения способом, позволяющим подтвердить факт и дату получения указанного уведомления, и оплатив АО «Новосибирскэнергосбыт» не позднее чем за 10 рабочих дней до заявляемой им даты расторжения договора стоимость потребленной электрической энергии (мощности), что должно быть подтверждено оплатой счета, выставляемого АО «Новосибирскэнергосбыт» в соответствии с действующим законодательством или условиями договора.</w:t>
            </w:r>
          </w:p>
          <w:p w14:paraId="34D576F2" w14:textId="77777777" w:rsidR="00C03768" w:rsidRPr="00C03768" w:rsidRDefault="00C03768" w:rsidP="00C03768">
            <w:pPr>
              <w:jc w:val="both"/>
              <w:rPr>
                <w:rFonts w:cs="Calibri"/>
                <w:sz w:val="20"/>
                <w:szCs w:val="20"/>
              </w:rPr>
            </w:pPr>
            <w:r w:rsidRPr="00C03768">
              <w:rPr>
                <w:rFonts w:cs="Calibri"/>
                <w:sz w:val="20"/>
                <w:szCs w:val="20"/>
              </w:rPr>
              <w:lastRenderedPageBreak/>
              <w:t>АО «Новосибирскэнергосбыт» имеет право в одностороннем порядке отказаться от исполнения договора полностью, что влечет расторжение договора в случае неисполнения покупателем своих обязательств по договору, в том числе по оплате электроэнергии в течение двух и более расчетных периодов.</w:t>
            </w:r>
          </w:p>
        </w:tc>
      </w:tr>
      <w:tr w:rsidR="00C03768" w:rsidRPr="00C03768" w14:paraId="09EB78E7" w14:textId="77777777" w:rsidTr="00C03768">
        <w:trPr>
          <w:trHeight w:val="450"/>
        </w:trPr>
        <w:tc>
          <w:tcPr>
            <w:tcW w:w="1588" w:type="dxa"/>
            <w:vMerge/>
            <w:shd w:val="clear" w:color="auto" w:fill="auto"/>
          </w:tcPr>
          <w:p w14:paraId="632F567C" w14:textId="77777777" w:rsidR="00C03768" w:rsidRPr="00C03768" w:rsidRDefault="00C03768" w:rsidP="00C03768">
            <w:pPr>
              <w:numPr>
                <w:ilvl w:val="0"/>
                <w:numId w:val="2"/>
              </w:numPr>
              <w:tabs>
                <w:tab w:val="left" w:pos="318"/>
              </w:tabs>
              <w:spacing w:after="0" w:line="240" w:lineRule="auto"/>
              <w:ind w:left="34"/>
              <w:contextualSpacing/>
              <w:rPr>
                <w:rFonts w:cs="Calibri"/>
                <w:sz w:val="20"/>
                <w:szCs w:val="20"/>
              </w:rPr>
            </w:pPr>
          </w:p>
        </w:tc>
        <w:tc>
          <w:tcPr>
            <w:tcW w:w="284" w:type="dxa"/>
            <w:shd w:val="clear" w:color="auto" w:fill="DAEEF3"/>
            <w:vAlign w:val="center"/>
          </w:tcPr>
          <w:p w14:paraId="2A15AEB0" w14:textId="77777777" w:rsidR="00C03768" w:rsidRPr="00C03768" w:rsidRDefault="00C03768" w:rsidP="00C03768">
            <w:pPr>
              <w:tabs>
                <w:tab w:val="left" w:pos="171"/>
                <w:tab w:val="left" w:pos="318"/>
              </w:tabs>
              <w:rPr>
                <w:rFonts w:cs="Calibri"/>
                <w:b/>
                <w:sz w:val="20"/>
                <w:szCs w:val="20"/>
              </w:rPr>
            </w:pPr>
            <w:r w:rsidRPr="00C03768">
              <w:rPr>
                <w:rFonts w:cs="Calibri"/>
                <w:b/>
                <w:sz w:val="20"/>
                <w:szCs w:val="20"/>
              </w:rPr>
              <w:t>7.</w:t>
            </w:r>
          </w:p>
        </w:tc>
        <w:tc>
          <w:tcPr>
            <w:tcW w:w="2097" w:type="dxa"/>
            <w:shd w:val="clear" w:color="auto" w:fill="DAEEF3"/>
            <w:vAlign w:val="center"/>
          </w:tcPr>
          <w:p w14:paraId="1CDB4F09" w14:textId="77777777" w:rsidR="00C03768" w:rsidRPr="00C03768" w:rsidRDefault="00C03768" w:rsidP="00C03768">
            <w:pPr>
              <w:tabs>
                <w:tab w:val="left" w:pos="318"/>
              </w:tabs>
              <w:ind w:left="175"/>
              <w:contextualSpacing/>
              <w:rPr>
                <w:rFonts w:cs="Calibri"/>
                <w:sz w:val="20"/>
                <w:szCs w:val="20"/>
              </w:rPr>
            </w:pPr>
            <w:r w:rsidRPr="00C03768">
              <w:rPr>
                <w:rFonts w:cs="Calibri"/>
                <w:sz w:val="20"/>
                <w:szCs w:val="20"/>
              </w:rPr>
              <w:t>Ответственность сторон</w:t>
            </w:r>
          </w:p>
        </w:tc>
        <w:tc>
          <w:tcPr>
            <w:tcW w:w="11369" w:type="dxa"/>
            <w:shd w:val="clear" w:color="auto" w:fill="DAEEF3"/>
            <w:vAlign w:val="center"/>
          </w:tcPr>
          <w:p w14:paraId="2473CF7B" w14:textId="77777777" w:rsidR="00C03768" w:rsidRPr="00C03768" w:rsidRDefault="00C03768" w:rsidP="00C03768">
            <w:pPr>
              <w:jc w:val="both"/>
              <w:rPr>
                <w:rFonts w:cs="Calibri"/>
                <w:sz w:val="20"/>
                <w:szCs w:val="20"/>
              </w:rPr>
            </w:pPr>
            <w:r w:rsidRPr="00C03768">
              <w:rPr>
                <w:rFonts w:cs="Calibri"/>
                <w:sz w:val="20"/>
                <w:szCs w:val="20"/>
              </w:rPr>
              <w:t>Сторона, не исполнившая или не надлежащим образом исполнившая обязательства по договору, несет ответственность в соответствии с договором и действующим законодательством РФ.</w:t>
            </w:r>
          </w:p>
        </w:tc>
      </w:tr>
      <w:tr w:rsidR="00C03768" w:rsidRPr="00C03768" w14:paraId="102C9256" w14:textId="77777777" w:rsidTr="00C03768">
        <w:trPr>
          <w:trHeight w:val="837"/>
        </w:trPr>
        <w:tc>
          <w:tcPr>
            <w:tcW w:w="1588" w:type="dxa"/>
            <w:vMerge/>
            <w:shd w:val="clear" w:color="auto" w:fill="auto"/>
          </w:tcPr>
          <w:p w14:paraId="2989F9E1" w14:textId="77777777" w:rsidR="00C03768" w:rsidRPr="00C03768" w:rsidRDefault="00C03768" w:rsidP="00C03768">
            <w:pPr>
              <w:numPr>
                <w:ilvl w:val="0"/>
                <w:numId w:val="2"/>
              </w:numPr>
              <w:tabs>
                <w:tab w:val="left" w:pos="318"/>
              </w:tabs>
              <w:spacing w:after="0" w:line="240" w:lineRule="auto"/>
              <w:ind w:left="34"/>
              <w:contextualSpacing/>
              <w:rPr>
                <w:rFonts w:cs="Calibri"/>
                <w:sz w:val="20"/>
                <w:szCs w:val="20"/>
              </w:rPr>
            </w:pPr>
          </w:p>
        </w:tc>
        <w:tc>
          <w:tcPr>
            <w:tcW w:w="284" w:type="dxa"/>
            <w:shd w:val="clear" w:color="auto" w:fill="DAEEF3"/>
            <w:vAlign w:val="center"/>
          </w:tcPr>
          <w:p w14:paraId="2D43FCEA" w14:textId="77777777" w:rsidR="00C03768" w:rsidRPr="00C03768" w:rsidRDefault="00C03768" w:rsidP="00C03768">
            <w:pPr>
              <w:tabs>
                <w:tab w:val="left" w:pos="171"/>
                <w:tab w:val="left" w:pos="318"/>
              </w:tabs>
              <w:rPr>
                <w:rFonts w:cs="Calibri"/>
                <w:b/>
                <w:sz w:val="20"/>
                <w:szCs w:val="20"/>
              </w:rPr>
            </w:pPr>
            <w:r w:rsidRPr="00C03768">
              <w:rPr>
                <w:rFonts w:cs="Calibri"/>
                <w:b/>
                <w:sz w:val="20"/>
                <w:szCs w:val="20"/>
              </w:rPr>
              <w:t>8.</w:t>
            </w:r>
          </w:p>
        </w:tc>
        <w:tc>
          <w:tcPr>
            <w:tcW w:w="2097" w:type="dxa"/>
            <w:shd w:val="clear" w:color="auto" w:fill="DAEEF3"/>
            <w:vAlign w:val="center"/>
          </w:tcPr>
          <w:p w14:paraId="244A5E1F" w14:textId="77777777" w:rsidR="00C03768" w:rsidRPr="00C03768" w:rsidRDefault="00C03768" w:rsidP="00C03768">
            <w:pPr>
              <w:tabs>
                <w:tab w:val="left" w:pos="318"/>
              </w:tabs>
              <w:ind w:left="175"/>
              <w:contextualSpacing/>
              <w:rPr>
                <w:rFonts w:cs="Calibri"/>
                <w:sz w:val="20"/>
                <w:szCs w:val="20"/>
              </w:rPr>
            </w:pPr>
            <w:r w:rsidRPr="00C03768">
              <w:rPr>
                <w:rFonts w:cs="Calibri"/>
                <w:sz w:val="20"/>
                <w:szCs w:val="20"/>
              </w:rPr>
              <w:t>Иная информация, являющаяся существенной для потребителей</w:t>
            </w:r>
          </w:p>
        </w:tc>
        <w:tc>
          <w:tcPr>
            <w:tcW w:w="11369" w:type="dxa"/>
            <w:shd w:val="clear" w:color="auto" w:fill="DAEEF3"/>
            <w:vAlign w:val="center"/>
          </w:tcPr>
          <w:p w14:paraId="54099F2E" w14:textId="77777777" w:rsidR="00C03768" w:rsidRPr="00C03768" w:rsidRDefault="00C03768" w:rsidP="00C03768">
            <w:pPr>
              <w:jc w:val="both"/>
              <w:rPr>
                <w:rFonts w:cs="Calibri"/>
                <w:sz w:val="20"/>
                <w:szCs w:val="20"/>
              </w:rPr>
            </w:pPr>
            <w:r w:rsidRPr="00C03768">
              <w:rPr>
                <w:rFonts w:cs="Calibri"/>
                <w:sz w:val="20"/>
                <w:szCs w:val="20"/>
              </w:rPr>
              <w:t>АО «Новосибирскэнергосбыт» осуществляет продажу электрической энергии (мощности) и по желанию покупателя самостоятельно или через привлеченных третьих лиц оказывает услуги по передаче электрической энергии и иные услуги, неразрывно связанные с процессом снабжения электрической энергией.</w:t>
            </w:r>
          </w:p>
        </w:tc>
      </w:tr>
    </w:tbl>
    <w:p w14:paraId="4E0DD8E8" w14:textId="77777777" w:rsidR="00BF5347" w:rsidRDefault="00E37F67"/>
    <w:sectPr w:rsidR="00BF5347" w:rsidSect="00C03768">
      <w:pgSz w:w="16838" w:h="11906" w:orient="landscape"/>
      <w:pgMar w:top="113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B37B6"/>
    <w:multiLevelType w:val="hybridMultilevel"/>
    <w:tmpl w:val="368C0850"/>
    <w:lvl w:ilvl="0" w:tplc="403E204C">
      <w:start w:val="1"/>
      <w:numFmt w:val="decimal"/>
      <w:lvlText w:val="%1."/>
      <w:lvlJc w:val="left"/>
      <w:pPr>
        <w:ind w:left="502" w:hanging="360"/>
      </w:pPr>
      <w:rPr>
        <w:b/>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204D6437"/>
    <w:multiLevelType w:val="hybridMultilevel"/>
    <w:tmpl w:val="D47C3B6A"/>
    <w:lvl w:ilvl="0" w:tplc="03FE671E">
      <w:start w:val="1"/>
      <w:numFmt w:val="bullet"/>
      <w:lvlText w:val="̶"/>
      <w:lvlJc w:val="left"/>
      <w:pPr>
        <w:ind w:left="1321"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8CB"/>
    <w:rsid w:val="00133B99"/>
    <w:rsid w:val="004738CB"/>
    <w:rsid w:val="007800AA"/>
    <w:rsid w:val="008708D9"/>
    <w:rsid w:val="0094688D"/>
    <w:rsid w:val="009612A7"/>
    <w:rsid w:val="00A9561E"/>
    <w:rsid w:val="00BD2B73"/>
    <w:rsid w:val="00C03768"/>
    <w:rsid w:val="00CD7E26"/>
    <w:rsid w:val="00D9471B"/>
    <w:rsid w:val="00E37F67"/>
    <w:rsid w:val="00F60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40B64"/>
  <w15:chartTrackingRefBased/>
  <w15:docId w15:val="{94726485-6756-4010-8E6C-24D17F18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B7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2B73"/>
    <w:pPr>
      <w:spacing w:before="100" w:beforeAutospacing="1" w:after="100" w:afterAutospacing="1" w:line="240" w:lineRule="auto"/>
    </w:pPr>
    <w:rPr>
      <w:rFonts w:ascii="Times New Roman" w:eastAsiaTheme="minorHAnsi" w:hAnsi="Times New Roman"/>
      <w:sz w:val="24"/>
      <w:szCs w:val="24"/>
      <w:lang w:eastAsia="ru-RU"/>
    </w:rPr>
  </w:style>
  <w:style w:type="character" w:styleId="a4">
    <w:name w:val="Strong"/>
    <w:basedOn w:val="a0"/>
    <w:qFormat/>
    <w:rsid w:val="00BD2B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39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3134</Characters>
  <Application>Microsoft Office Word</Application>
  <DocSecurity>4</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Гришманова Татьяна Борисовна</dc:creator>
  <cp:keywords/>
  <dc:description/>
  <cp:lastModifiedBy>Пилипенко Виктория Сергеевна</cp:lastModifiedBy>
  <cp:revision>2</cp:revision>
  <dcterms:created xsi:type="dcterms:W3CDTF">2025-04-25T02:03:00Z</dcterms:created>
  <dcterms:modified xsi:type="dcterms:W3CDTF">2025-04-25T02:03:00Z</dcterms:modified>
</cp:coreProperties>
</file>